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0C5" w:rsidRDefault="007610C5">
      <w:pPr>
        <w:pStyle w:val="Corpodetexto"/>
        <w:spacing w:before="8"/>
        <w:rPr>
          <w:rFonts w:ascii="Times New Roman"/>
          <w:sz w:val="28"/>
        </w:rPr>
      </w:pPr>
    </w:p>
    <w:p w:rsidR="007610C5" w:rsidRPr="0034753D" w:rsidRDefault="00574A3D" w:rsidP="00111616">
      <w:pPr>
        <w:pStyle w:val="Ttulo1"/>
        <w:spacing w:before="92"/>
        <w:ind w:right="103" w:firstLine="166"/>
        <w:jc w:val="center"/>
        <w:rPr>
          <w:sz w:val="22"/>
          <w:szCs w:val="22"/>
          <w:u w:val="single"/>
        </w:rPr>
      </w:pPr>
      <w:r w:rsidRPr="0034753D">
        <w:rPr>
          <w:sz w:val="22"/>
          <w:szCs w:val="22"/>
          <w:u w:val="single"/>
        </w:rPr>
        <w:t xml:space="preserve">RESPOSTA À </w:t>
      </w:r>
      <w:r w:rsidR="00C04CE0" w:rsidRPr="0034753D">
        <w:rPr>
          <w:sz w:val="22"/>
          <w:szCs w:val="22"/>
          <w:u w:val="single"/>
        </w:rPr>
        <w:t>IMPUGNAÇÃO</w:t>
      </w:r>
      <w:r w:rsidR="00C04CE0" w:rsidRPr="0034753D">
        <w:rPr>
          <w:spacing w:val="45"/>
          <w:sz w:val="22"/>
          <w:szCs w:val="22"/>
          <w:u w:val="single"/>
        </w:rPr>
        <w:t xml:space="preserve"> </w:t>
      </w:r>
      <w:r w:rsidR="00C04CE0" w:rsidRPr="0034753D">
        <w:rPr>
          <w:sz w:val="22"/>
          <w:szCs w:val="22"/>
          <w:u w:val="single"/>
        </w:rPr>
        <w:t>AO</w:t>
      </w:r>
      <w:r w:rsidR="00C04CE0" w:rsidRPr="0034753D">
        <w:rPr>
          <w:spacing w:val="40"/>
          <w:sz w:val="22"/>
          <w:szCs w:val="22"/>
          <w:u w:val="single"/>
        </w:rPr>
        <w:t xml:space="preserve"> </w:t>
      </w:r>
      <w:r w:rsidR="00C04CE0" w:rsidRPr="0034753D">
        <w:rPr>
          <w:sz w:val="22"/>
          <w:szCs w:val="22"/>
          <w:u w:val="single"/>
        </w:rPr>
        <w:t>EDITAL</w:t>
      </w:r>
      <w:r w:rsidR="00C04CE0" w:rsidRPr="0034753D">
        <w:rPr>
          <w:spacing w:val="40"/>
          <w:sz w:val="22"/>
          <w:szCs w:val="22"/>
          <w:u w:val="single"/>
        </w:rPr>
        <w:t xml:space="preserve"> </w:t>
      </w:r>
      <w:r w:rsidR="00C04CE0" w:rsidRPr="0034753D">
        <w:rPr>
          <w:sz w:val="22"/>
          <w:szCs w:val="22"/>
          <w:u w:val="single"/>
        </w:rPr>
        <w:t>DO</w:t>
      </w:r>
      <w:r w:rsidR="00C04CE0" w:rsidRPr="0034753D">
        <w:rPr>
          <w:spacing w:val="37"/>
          <w:sz w:val="22"/>
          <w:szCs w:val="22"/>
          <w:u w:val="single"/>
        </w:rPr>
        <w:t xml:space="preserve"> </w:t>
      </w:r>
      <w:r w:rsidR="00C04CE0" w:rsidRPr="0034753D">
        <w:rPr>
          <w:sz w:val="22"/>
          <w:szCs w:val="22"/>
          <w:u w:val="single"/>
        </w:rPr>
        <w:t>PREGÃO</w:t>
      </w:r>
      <w:r w:rsidR="00C04CE0" w:rsidRPr="0034753D">
        <w:rPr>
          <w:spacing w:val="40"/>
          <w:sz w:val="22"/>
          <w:szCs w:val="22"/>
          <w:u w:val="single"/>
        </w:rPr>
        <w:t xml:space="preserve"> </w:t>
      </w:r>
      <w:r w:rsidR="00C04CE0" w:rsidRPr="0034753D">
        <w:rPr>
          <w:sz w:val="22"/>
          <w:szCs w:val="22"/>
          <w:u w:val="single"/>
        </w:rPr>
        <w:t>ELETRÔNICO</w:t>
      </w:r>
      <w:r w:rsidR="00C04CE0" w:rsidRPr="0034753D">
        <w:rPr>
          <w:spacing w:val="45"/>
          <w:sz w:val="22"/>
          <w:szCs w:val="22"/>
          <w:u w:val="single"/>
        </w:rPr>
        <w:t xml:space="preserve"> </w:t>
      </w:r>
      <w:r w:rsidR="00BE7585" w:rsidRPr="0034753D">
        <w:rPr>
          <w:spacing w:val="45"/>
          <w:sz w:val="22"/>
          <w:szCs w:val="22"/>
          <w:u w:val="single"/>
        </w:rPr>
        <w:t>SRP</w:t>
      </w:r>
      <w:r w:rsidR="00C04CE0" w:rsidRPr="0034753D">
        <w:rPr>
          <w:sz w:val="22"/>
          <w:szCs w:val="22"/>
          <w:u w:val="single"/>
        </w:rPr>
        <w:t>Nº</w:t>
      </w:r>
      <w:r w:rsidR="00BE7585" w:rsidRPr="0034753D">
        <w:rPr>
          <w:sz w:val="22"/>
          <w:szCs w:val="22"/>
          <w:u w:val="single"/>
        </w:rPr>
        <w:t xml:space="preserve"> </w:t>
      </w:r>
      <w:r w:rsidR="00C04CE0" w:rsidRPr="0034753D">
        <w:rPr>
          <w:spacing w:val="-64"/>
          <w:sz w:val="22"/>
          <w:szCs w:val="22"/>
          <w:u w:val="single"/>
        </w:rPr>
        <w:t xml:space="preserve"> </w:t>
      </w:r>
      <w:r w:rsidR="00BE7585" w:rsidRPr="0034753D">
        <w:rPr>
          <w:sz w:val="22"/>
          <w:szCs w:val="22"/>
          <w:u w:val="single"/>
        </w:rPr>
        <w:t>01/2021</w:t>
      </w:r>
    </w:p>
    <w:p w:rsidR="00BE7585" w:rsidRDefault="00BE7585">
      <w:pPr>
        <w:pStyle w:val="Ttulo1"/>
        <w:spacing w:before="92"/>
        <w:ind w:right="103"/>
      </w:pPr>
    </w:p>
    <w:p w:rsidR="007610C5" w:rsidRPr="00111616" w:rsidRDefault="00BE7585" w:rsidP="00111616">
      <w:pPr>
        <w:pStyle w:val="Corpodetexto"/>
        <w:spacing w:before="1"/>
        <w:ind w:left="851" w:right="799" w:hanging="567"/>
        <w:jc w:val="both"/>
        <w:rPr>
          <w:rFonts w:ascii="Arial" w:hAnsi="Arial" w:cs="Arial"/>
          <w:sz w:val="20"/>
          <w:szCs w:val="20"/>
        </w:rPr>
      </w:pPr>
      <w:r>
        <w:rPr>
          <w:rFonts w:ascii="Arial" w:hAnsi="Arial"/>
          <w:b/>
        </w:rPr>
        <w:t xml:space="preserve">         </w:t>
      </w:r>
      <w:r w:rsidR="00C04CE0" w:rsidRPr="00BE7585">
        <w:rPr>
          <w:rFonts w:ascii="Arial" w:hAnsi="Arial"/>
          <w:b/>
          <w:sz w:val="22"/>
          <w:szCs w:val="22"/>
        </w:rPr>
        <w:t>OBJETO</w:t>
      </w:r>
      <w:r w:rsidR="00C04CE0">
        <w:rPr>
          <w:rFonts w:ascii="Arial" w:hAnsi="Arial"/>
          <w:b/>
        </w:rPr>
        <w:t>:</w:t>
      </w:r>
      <w:r w:rsidR="00C04CE0">
        <w:rPr>
          <w:rFonts w:ascii="Arial" w:hAnsi="Arial"/>
          <w:b/>
          <w:spacing w:val="40"/>
        </w:rPr>
        <w:t xml:space="preserve"> </w:t>
      </w:r>
      <w:r w:rsidRPr="00111616">
        <w:rPr>
          <w:rFonts w:ascii="Arial" w:hAnsi="Arial" w:cs="Arial"/>
          <w:sz w:val="20"/>
          <w:szCs w:val="20"/>
        </w:rPr>
        <w:t>Aquisição de equipamentos eletrodomésticos, eletroeletrônicos, audiovisual em apoio às atividades auxiliares nas dependências da nova sede do Ministério Público Federal no Estado do Pará, conforme condições, quantidades e exigências estabelecidas neste Edital e seus anexos.</w:t>
      </w:r>
    </w:p>
    <w:p w:rsidR="007610C5" w:rsidRPr="00111616" w:rsidRDefault="007610C5">
      <w:pPr>
        <w:pStyle w:val="Corpodetexto"/>
        <w:rPr>
          <w:rFonts w:ascii="Arial" w:hAnsi="Arial" w:cs="Arial"/>
          <w:sz w:val="26"/>
        </w:rPr>
      </w:pPr>
    </w:p>
    <w:p w:rsidR="007610C5" w:rsidRPr="00111616" w:rsidRDefault="00BE7585" w:rsidP="00BE7585">
      <w:pPr>
        <w:pStyle w:val="Ttulo1"/>
        <w:tabs>
          <w:tab w:val="left" w:pos="820"/>
        </w:tabs>
        <w:spacing w:before="194"/>
        <w:ind w:left="819"/>
        <w:rPr>
          <w:sz w:val="22"/>
          <w:szCs w:val="22"/>
        </w:rPr>
      </w:pPr>
      <w:r w:rsidRPr="00111616">
        <w:rPr>
          <w:sz w:val="22"/>
          <w:szCs w:val="22"/>
        </w:rPr>
        <w:t xml:space="preserve">1. </w:t>
      </w:r>
      <w:r w:rsidR="00C04CE0" w:rsidRPr="00111616">
        <w:rPr>
          <w:sz w:val="22"/>
          <w:szCs w:val="22"/>
        </w:rPr>
        <w:t xml:space="preserve"> DA</w:t>
      </w:r>
      <w:r w:rsidR="00C04CE0" w:rsidRPr="00111616">
        <w:rPr>
          <w:spacing w:val="-9"/>
          <w:sz w:val="22"/>
          <w:szCs w:val="22"/>
        </w:rPr>
        <w:t xml:space="preserve"> </w:t>
      </w:r>
      <w:r w:rsidR="00C04CE0" w:rsidRPr="00111616">
        <w:rPr>
          <w:sz w:val="22"/>
          <w:szCs w:val="22"/>
        </w:rPr>
        <w:t>TEMPESTIVIDADE DA</w:t>
      </w:r>
      <w:r w:rsidR="00C04CE0" w:rsidRPr="00111616">
        <w:rPr>
          <w:spacing w:val="-7"/>
          <w:sz w:val="22"/>
          <w:szCs w:val="22"/>
        </w:rPr>
        <w:t xml:space="preserve"> </w:t>
      </w:r>
      <w:r w:rsidRPr="00111616">
        <w:rPr>
          <w:sz w:val="22"/>
          <w:szCs w:val="22"/>
        </w:rPr>
        <w:t>IMPUGNAÇÃO</w:t>
      </w:r>
    </w:p>
    <w:p w:rsidR="007610C5" w:rsidRPr="00111616" w:rsidRDefault="00C04CE0" w:rsidP="002D1A5E">
      <w:pPr>
        <w:spacing w:before="120"/>
        <w:ind w:left="851" w:right="799"/>
        <w:jc w:val="both"/>
        <w:rPr>
          <w:rFonts w:ascii="Arial" w:hAnsi="Arial" w:cs="Arial"/>
          <w:sz w:val="20"/>
          <w:szCs w:val="20"/>
        </w:rPr>
      </w:pPr>
      <w:r w:rsidRPr="00111616">
        <w:rPr>
          <w:rFonts w:ascii="Arial" w:hAnsi="Arial" w:cs="Arial"/>
          <w:sz w:val="20"/>
          <w:szCs w:val="20"/>
        </w:rPr>
        <w:t>De</w:t>
      </w:r>
      <w:r w:rsidRPr="00111616">
        <w:rPr>
          <w:rFonts w:ascii="Arial" w:hAnsi="Arial" w:cs="Arial"/>
          <w:spacing w:val="1"/>
          <w:sz w:val="20"/>
          <w:szCs w:val="20"/>
        </w:rPr>
        <w:t xml:space="preserve"> </w:t>
      </w:r>
      <w:r w:rsidRPr="00111616">
        <w:rPr>
          <w:rFonts w:ascii="Arial" w:hAnsi="Arial" w:cs="Arial"/>
          <w:sz w:val="20"/>
          <w:szCs w:val="20"/>
        </w:rPr>
        <w:t>acordo</w:t>
      </w:r>
      <w:r w:rsidRPr="00111616">
        <w:rPr>
          <w:rFonts w:ascii="Arial" w:hAnsi="Arial" w:cs="Arial"/>
          <w:spacing w:val="1"/>
          <w:sz w:val="20"/>
          <w:szCs w:val="20"/>
        </w:rPr>
        <w:t xml:space="preserve"> </w:t>
      </w:r>
      <w:r w:rsidRPr="00111616">
        <w:rPr>
          <w:rFonts w:ascii="Arial" w:hAnsi="Arial" w:cs="Arial"/>
          <w:sz w:val="20"/>
          <w:szCs w:val="20"/>
        </w:rPr>
        <w:t>com o</w:t>
      </w:r>
      <w:r w:rsidRPr="00111616">
        <w:rPr>
          <w:rFonts w:ascii="Arial" w:hAnsi="Arial" w:cs="Arial"/>
          <w:spacing w:val="1"/>
          <w:sz w:val="20"/>
          <w:szCs w:val="20"/>
        </w:rPr>
        <w:t xml:space="preserve"> </w:t>
      </w:r>
      <w:r w:rsidRPr="00111616">
        <w:rPr>
          <w:rFonts w:ascii="Arial" w:hAnsi="Arial" w:cs="Arial"/>
          <w:sz w:val="20"/>
          <w:szCs w:val="20"/>
        </w:rPr>
        <w:t>su</w:t>
      </w:r>
      <w:r w:rsidR="00111616">
        <w:rPr>
          <w:rFonts w:ascii="Arial" w:hAnsi="Arial" w:cs="Arial"/>
          <w:sz w:val="20"/>
          <w:szCs w:val="20"/>
        </w:rPr>
        <w:t>bitem 24</w:t>
      </w:r>
      <w:r w:rsidRPr="00111616">
        <w:rPr>
          <w:rFonts w:ascii="Arial" w:hAnsi="Arial" w:cs="Arial"/>
          <w:sz w:val="20"/>
          <w:szCs w:val="20"/>
        </w:rPr>
        <w:t>.1</w:t>
      </w:r>
      <w:r w:rsidRPr="00111616">
        <w:rPr>
          <w:rFonts w:ascii="Arial" w:hAnsi="Arial" w:cs="Arial"/>
          <w:spacing w:val="1"/>
          <w:sz w:val="20"/>
          <w:szCs w:val="20"/>
        </w:rPr>
        <w:t xml:space="preserve"> </w:t>
      </w:r>
      <w:r w:rsidRPr="00111616">
        <w:rPr>
          <w:rFonts w:ascii="Arial" w:hAnsi="Arial" w:cs="Arial"/>
          <w:sz w:val="20"/>
          <w:szCs w:val="20"/>
        </w:rPr>
        <w:t>do Edital,</w:t>
      </w:r>
      <w:r w:rsidRPr="00111616">
        <w:rPr>
          <w:rFonts w:ascii="Arial" w:hAnsi="Arial" w:cs="Arial"/>
          <w:spacing w:val="1"/>
          <w:sz w:val="20"/>
          <w:szCs w:val="20"/>
        </w:rPr>
        <w:t xml:space="preserve"> </w:t>
      </w:r>
      <w:r w:rsidR="00111616">
        <w:rPr>
          <w:rFonts w:ascii="Arial" w:hAnsi="Arial" w:cs="Arial"/>
          <w:spacing w:val="1"/>
          <w:sz w:val="20"/>
          <w:szCs w:val="20"/>
        </w:rPr>
        <w:t>“</w:t>
      </w:r>
      <w:r w:rsidR="00111616" w:rsidRPr="00111616">
        <w:rPr>
          <w:rFonts w:ascii="Arial" w:hAnsi="Arial" w:cs="Arial"/>
          <w:b/>
          <w:i/>
          <w:sz w:val="20"/>
          <w:szCs w:val="20"/>
        </w:rPr>
        <w:t>Até 03 (três) dias úteis antes da data designada para a abertura da sessão pública, qualquer pes</w:t>
      </w:r>
      <w:r w:rsidR="00111616">
        <w:rPr>
          <w:rFonts w:ascii="Arial" w:hAnsi="Arial" w:cs="Arial"/>
          <w:b/>
          <w:i/>
          <w:sz w:val="20"/>
          <w:szCs w:val="20"/>
        </w:rPr>
        <w:t>soa poderá impugnar este Edital</w:t>
      </w:r>
      <w:r w:rsidRPr="00111616">
        <w:rPr>
          <w:rFonts w:ascii="Arial" w:hAnsi="Arial" w:cs="Arial"/>
          <w:b/>
          <w:i/>
          <w:sz w:val="20"/>
          <w:szCs w:val="20"/>
        </w:rPr>
        <w:t>”</w:t>
      </w:r>
      <w:r w:rsidRPr="00111616">
        <w:rPr>
          <w:rFonts w:ascii="Arial" w:hAnsi="Arial" w:cs="Arial"/>
          <w:sz w:val="20"/>
          <w:szCs w:val="20"/>
        </w:rPr>
        <w:t>.</w:t>
      </w:r>
      <w:r w:rsidR="0034753D">
        <w:rPr>
          <w:rFonts w:ascii="Arial" w:hAnsi="Arial" w:cs="Arial"/>
          <w:sz w:val="20"/>
          <w:szCs w:val="20"/>
        </w:rPr>
        <w:t>(Grifo nosso).</w:t>
      </w:r>
      <w:r w:rsidR="00111616">
        <w:rPr>
          <w:rFonts w:ascii="Arial" w:hAnsi="Arial" w:cs="Arial"/>
          <w:sz w:val="20"/>
          <w:szCs w:val="20"/>
        </w:rPr>
        <w:t xml:space="preserve"> A data de abertura da sessão está marcada para o dia </w:t>
      </w:r>
      <w:r w:rsidR="00111616" w:rsidRPr="00111616">
        <w:rPr>
          <w:rFonts w:ascii="Arial" w:hAnsi="Arial" w:cs="Arial"/>
          <w:b/>
          <w:sz w:val="20"/>
          <w:szCs w:val="20"/>
        </w:rPr>
        <w:t>09.06.2021</w:t>
      </w:r>
      <w:r w:rsidR="00111616">
        <w:rPr>
          <w:rFonts w:ascii="Arial" w:hAnsi="Arial" w:cs="Arial"/>
          <w:sz w:val="20"/>
          <w:szCs w:val="20"/>
        </w:rPr>
        <w:t>, às 8:30 h.</w:t>
      </w:r>
    </w:p>
    <w:p w:rsidR="007610C5" w:rsidRPr="00111616" w:rsidRDefault="00111616" w:rsidP="002D1A5E">
      <w:pPr>
        <w:pStyle w:val="Corpodetexto"/>
        <w:spacing w:before="120"/>
        <w:ind w:left="851" w:right="799"/>
        <w:jc w:val="both"/>
        <w:rPr>
          <w:rFonts w:ascii="Arial" w:hAnsi="Arial" w:cs="Arial"/>
          <w:sz w:val="20"/>
          <w:szCs w:val="20"/>
        </w:rPr>
      </w:pPr>
      <w:r>
        <w:rPr>
          <w:rFonts w:ascii="Arial" w:hAnsi="Arial" w:cs="Arial"/>
          <w:sz w:val="20"/>
          <w:szCs w:val="20"/>
        </w:rPr>
        <w:t xml:space="preserve">A empresa </w:t>
      </w:r>
      <w:r w:rsidR="008C3351" w:rsidRPr="008C3351">
        <w:rPr>
          <w:rFonts w:ascii="Arial" w:hAnsi="Arial" w:cs="Arial"/>
          <w:b/>
          <w:sz w:val="20"/>
          <w:szCs w:val="20"/>
        </w:rPr>
        <w:t>IMPUGNANTE</w:t>
      </w:r>
      <w:r w:rsidR="00C04CE0" w:rsidRPr="00111616">
        <w:rPr>
          <w:rFonts w:ascii="Arial" w:hAnsi="Arial" w:cs="Arial"/>
          <w:sz w:val="20"/>
          <w:szCs w:val="20"/>
        </w:rPr>
        <w:t>, em</w:t>
      </w:r>
      <w:r w:rsidR="00C04CE0" w:rsidRPr="00111616">
        <w:rPr>
          <w:rFonts w:ascii="Arial" w:hAnsi="Arial" w:cs="Arial"/>
          <w:spacing w:val="1"/>
          <w:sz w:val="20"/>
          <w:szCs w:val="20"/>
        </w:rPr>
        <w:t xml:space="preserve"> </w:t>
      </w:r>
      <w:r w:rsidR="002D1A5E" w:rsidRPr="002D1A5E">
        <w:rPr>
          <w:rFonts w:ascii="Arial" w:hAnsi="Arial" w:cs="Arial"/>
          <w:b/>
          <w:sz w:val="20"/>
          <w:szCs w:val="20"/>
        </w:rPr>
        <w:t>02/06/2021,</w:t>
      </w:r>
      <w:r w:rsidR="00C04CE0" w:rsidRPr="002D1A5E">
        <w:rPr>
          <w:rFonts w:ascii="Arial" w:hAnsi="Arial" w:cs="Arial"/>
          <w:b/>
          <w:spacing w:val="1"/>
          <w:sz w:val="20"/>
          <w:szCs w:val="20"/>
        </w:rPr>
        <w:t xml:space="preserve"> </w:t>
      </w:r>
      <w:r w:rsidR="00C04CE0" w:rsidRPr="002D1A5E">
        <w:rPr>
          <w:rFonts w:ascii="Arial" w:hAnsi="Arial" w:cs="Arial"/>
          <w:b/>
          <w:sz w:val="20"/>
          <w:szCs w:val="20"/>
        </w:rPr>
        <w:t>às</w:t>
      </w:r>
      <w:r w:rsidR="00C04CE0" w:rsidRPr="002D1A5E">
        <w:rPr>
          <w:rFonts w:ascii="Arial" w:hAnsi="Arial" w:cs="Arial"/>
          <w:b/>
          <w:spacing w:val="1"/>
          <w:sz w:val="20"/>
          <w:szCs w:val="20"/>
        </w:rPr>
        <w:t xml:space="preserve"> </w:t>
      </w:r>
      <w:r w:rsidR="00C04CE0" w:rsidRPr="002D1A5E">
        <w:rPr>
          <w:rFonts w:ascii="Arial" w:hAnsi="Arial" w:cs="Arial"/>
          <w:b/>
          <w:sz w:val="20"/>
          <w:szCs w:val="20"/>
        </w:rPr>
        <w:t>17:</w:t>
      </w:r>
      <w:r w:rsidR="002D1A5E" w:rsidRPr="002D1A5E">
        <w:rPr>
          <w:rFonts w:ascii="Arial" w:hAnsi="Arial" w:cs="Arial"/>
          <w:b/>
          <w:sz w:val="20"/>
          <w:szCs w:val="20"/>
        </w:rPr>
        <w:t xml:space="preserve">44 </w:t>
      </w:r>
      <w:r w:rsidR="00C04CE0" w:rsidRPr="002D1A5E">
        <w:rPr>
          <w:rFonts w:ascii="Arial" w:hAnsi="Arial" w:cs="Arial"/>
          <w:b/>
          <w:sz w:val="20"/>
          <w:szCs w:val="20"/>
        </w:rPr>
        <w:t>h</w:t>
      </w:r>
      <w:r w:rsidR="00C04CE0" w:rsidRPr="00111616">
        <w:rPr>
          <w:rFonts w:ascii="Arial" w:hAnsi="Arial" w:cs="Arial"/>
          <w:spacing w:val="1"/>
          <w:sz w:val="20"/>
          <w:szCs w:val="20"/>
        </w:rPr>
        <w:t xml:space="preserve"> </w:t>
      </w:r>
      <w:r w:rsidR="00C04CE0" w:rsidRPr="00111616">
        <w:rPr>
          <w:rFonts w:ascii="Arial" w:hAnsi="Arial" w:cs="Arial"/>
          <w:sz w:val="20"/>
          <w:szCs w:val="20"/>
        </w:rPr>
        <w:t>-</w:t>
      </w:r>
      <w:r w:rsidR="00C04CE0" w:rsidRPr="00111616">
        <w:rPr>
          <w:rFonts w:ascii="Arial" w:hAnsi="Arial" w:cs="Arial"/>
          <w:spacing w:val="1"/>
          <w:sz w:val="20"/>
          <w:szCs w:val="20"/>
        </w:rPr>
        <w:t xml:space="preserve"> </w:t>
      </w:r>
      <w:r w:rsidR="0034753D">
        <w:rPr>
          <w:rFonts w:ascii="Arial" w:hAnsi="Arial" w:cs="Arial"/>
          <w:sz w:val="20"/>
          <w:szCs w:val="20"/>
        </w:rPr>
        <w:t>h</w:t>
      </w:r>
      <w:r w:rsidR="00C04CE0" w:rsidRPr="00111616">
        <w:rPr>
          <w:rFonts w:ascii="Arial" w:hAnsi="Arial" w:cs="Arial"/>
          <w:sz w:val="20"/>
          <w:szCs w:val="20"/>
        </w:rPr>
        <w:t>orário</w:t>
      </w:r>
      <w:r w:rsidR="00C04CE0" w:rsidRPr="00111616">
        <w:rPr>
          <w:rFonts w:ascii="Arial" w:hAnsi="Arial" w:cs="Arial"/>
          <w:spacing w:val="1"/>
          <w:sz w:val="20"/>
          <w:szCs w:val="20"/>
        </w:rPr>
        <w:t xml:space="preserve"> </w:t>
      </w:r>
      <w:r w:rsidR="00C04CE0" w:rsidRPr="00111616">
        <w:rPr>
          <w:rFonts w:ascii="Arial" w:hAnsi="Arial" w:cs="Arial"/>
          <w:sz w:val="20"/>
          <w:szCs w:val="20"/>
        </w:rPr>
        <w:t>de</w:t>
      </w:r>
      <w:r w:rsidR="00C04CE0" w:rsidRPr="00111616">
        <w:rPr>
          <w:rFonts w:ascii="Arial" w:hAnsi="Arial" w:cs="Arial"/>
          <w:spacing w:val="1"/>
          <w:sz w:val="20"/>
          <w:szCs w:val="20"/>
        </w:rPr>
        <w:t xml:space="preserve"> </w:t>
      </w:r>
      <w:r w:rsidR="00C04CE0" w:rsidRPr="00111616">
        <w:rPr>
          <w:rFonts w:ascii="Arial" w:hAnsi="Arial" w:cs="Arial"/>
          <w:sz w:val="20"/>
          <w:szCs w:val="20"/>
        </w:rPr>
        <w:t>Brasília,</w:t>
      </w:r>
      <w:r w:rsidR="00C04CE0" w:rsidRPr="00111616">
        <w:rPr>
          <w:rFonts w:ascii="Arial" w:hAnsi="Arial" w:cs="Arial"/>
          <w:spacing w:val="1"/>
          <w:sz w:val="20"/>
          <w:szCs w:val="20"/>
        </w:rPr>
        <w:t xml:space="preserve"> </w:t>
      </w:r>
      <w:r w:rsidR="002D1A5E">
        <w:rPr>
          <w:rFonts w:ascii="Arial" w:hAnsi="Arial" w:cs="Arial"/>
          <w:spacing w:val="1"/>
          <w:sz w:val="20"/>
          <w:szCs w:val="20"/>
        </w:rPr>
        <w:t xml:space="preserve">enviou para o email: </w:t>
      </w:r>
      <w:hyperlink r:id="rId8" w:history="1">
        <w:r w:rsidR="002D1A5E" w:rsidRPr="00414F34">
          <w:rPr>
            <w:rStyle w:val="Hyperlink"/>
            <w:rFonts w:ascii="Arial" w:hAnsi="Arial" w:cs="Arial"/>
            <w:spacing w:val="1"/>
            <w:sz w:val="20"/>
            <w:szCs w:val="20"/>
          </w:rPr>
          <w:t>prpa-cpl@mpf.mp.br</w:t>
        </w:r>
      </w:hyperlink>
      <w:r w:rsidR="0034753D">
        <w:rPr>
          <w:rFonts w:ascii="Arial" w:hAnsi="Arial" w:cs="Arial"/>
          <w:spacing w:val="1"/>
          <w:sz w:val="20"/>
          <w:szCs w:val="20"/>
        </w:rPr>
        <w:t>, constante no Edital licitatório,</w:t>
      </w:r>
      <w:r w:rsidR="002D1A5E">
        <w:rPr>
          <w:rFonts w:ascii="Arial" w:hAnsi="Arial" w:cs="Arial"/>
          <w:spacing w:val="1"/>
          <w:sz w:val="20"/>
          <w:szCs w:val="20"/>
        </w:rPr>
        <w:t xml:space="preserve"> o seu pedido de impugnação ao referido Edital. Sendo o prazo final para esclarecimentos e impugnações até o dia </w:t>
      </w:r>
      <w:r w:rsidR="002D1A5E" w:rsidRPr="002D1A5E">
        <w:rPr>
          <w:rFonts w:ascii="Arial" w:hAnsi="Arial" w:cs="Arial"/>
          <w:b/>
          <w:spacing w:val="1"/>
          <w:sz w:val="20"/>
          <w:szCs w:val="20"/>
        </w:rPr>
        <w:t>04.06.2021</w:t>
      </w:r>
      <w:r w:rsidR="002D1A5E">
        <w:rPr>
          <w:rFonts w:ascii="Arial" w:hAnsi="Arial" w:cs="Arial"/>
          <w:spacing w:val="1"/>
          <w:sz w:val="20"/>
          <w:szCs w:val="20"/>
        </w:rPr>
        <w:t>, portanto</w:t>
      </w:r>
      <w:r w:rsidR="0034753D">
        <w:rPr>
          <w:rFonts w:ascii="Arial" w:hAnsi="Arial" w:cs="Arial"/>
          <w:spacing w:val="1"/>
          <w:sz w:val="20"/>
          <w:szCs w:val="20"/>
        </w:rPr>
        <w:t>,</w:t>
      </w:r>
      <w:r w:rsidR="002D1A5E">
        <w:rPr>
          <w:rFonts w:ascii="Arial" w:hAnsi="Arial" w:cs="Arial"/>
          <w:spacing w:val="1"/>
          <w:sz w:val="20"/>
          <w:szCs w:val="20"/>
        </w:rPr>
        <w:t xml:space="preserve"> </w:t>
      </w:r>
      <w:r w:rsidR="0034753D">
        <w:rPr>
          <w:rFonts w:ascii="Arial" w:hAnsi="Arial" w:cs="Arial"/>
          <w:spacing w:val="1"/>
          <w:sz w:val="20"/>
          <w:szCs w:val="20"/>
        </w:rPr>
        <w:t xml:space="preserve">reconhece-se </w:t>
      </w:r>
      <w:r w:rsidR="002D1A5E">
        <w:rPr>
          <w:rFonts w:ascii="Arial" w:hAnsi="Arial" w:cs="Arial"/>
          <w:spacing w:val="1"/>
          <w:sz w:val="20"/>
          <w:szCs w:val="20"/>
        </w:rPr>
        <w:t xml:space="preserve">o pedido da empresa acima </w:t>
      </w:r>
      <w:r w:rsidR="0034753D">
        <w:rPr>
          <w:rFonts w:ascii="Arial" w:hAnsi="Arial" w:cs="Arial"/>
          <w:spacing w:val="1"/>
          <w:sz w:val="20"/>
          <w:szCs w:val="20"/>
        </w:rPr>
        <w:t xml:space="preserve">como </w:t>
      </w:r>
      <w:r w:rsidR="00637CD5" w:rsidRPr="00637CD5">
        <w:rPr>
          <w:rFonts w:ascii="Arial" w:hAnsi="Arial" w:cs="Arial"/>
          <w:b/>
          <w:spacing w:val="1"/>
          <w:sz w:val="20"/>
          <w:szCs w:val="20"/>
          <w:u w:val="single"/>
        </w:rPr>
        <w:t xml:space="preserve">legítimo e </w:t>
      </w:r>
      <w:r w:rsidR="002D1A5E" w:rsidRPr="00637CD5">
        <w:rPr>
          <w:rFonts w:ascii="Arial" w:hAnsi="Arial" w:cs="Arial"/>
          <w:b/>
          <w:spacing w:val="1"/>
          <w:sz w:val="20"/>
          <w:szCs w:val="20"/>
          <w:u w:val="single"/>
        </w:rPr>
        <w:t>tempestivo.</w:t>
      </w:r>
    </w:p>
    <w:p w:rsidR="007610C5" w:rsidRDefault="007610C5">
      <w:pPr>
        <w:pStyle w:val="Corpodetexto"/>
        <w:rPr>
          <w:sz w:val="26"/>
        </w:rPr>
      </w:pPr>
    </w:p>
    <w:p w:rsidR="007610C5" w:rsidRDefault="00C04CE0" w:rsidP="002D1A5E">
      <w:pPr>
        <w:pStyle w:val="Ttulo1"/>
        <w:numPr>
          <w:ilvl w:val="0"/>
          <w:numId w:val="3"/>
        </w:numPr>
        <w:tabs>
          <w:tab w:val="left" w:pos="887"/>
        </w:tabs>
        <w:spacing w:before="214"/>
        <w:rPr>
          <w:sz w:val="22"/>
          <w:szCs w:val="22"/>
        </w:rPr>
      </w:pPr>
      <w:r w:rsidRPr="002D1A5E">
        <w:rPr>
          <w:spacing w:val="-4"/>
          <w:sz w:val="22"/>
          <w:szCs w:val="22"/>
        </w:rPr>
        <w:t xml:space="preserve"> </w:t>
      </w:r>
      <w:r w:rsidRPr="002D1A5E">
        <w:rPr>
          <w:sz w:val="22"/>
          <w:szCs w:val="22"/>
        </w:rPr>
        <w:t>DAS</w:t>
      </w:r>
      <w:r w:rsidRPr="002D1A5E">
        <w:rPr>
          <w:spacing w:val="-2"/>
          <w:sz w:val="22"/>
          <w:szCs w:val="22"/>
        </w:rPr>
        <w:t xml:space="preserve"> </w:t>
      </w:r>
      <w:r w:rsidRPr="002D1A5E">
        <w:rPr>
          <w:sz w:val="22"/>
          <w:szCs w:val="22"/>
        </w:rPr>
        <w:t>RAZÕES</w:t>
      </w:r>
      <w:r w:rsidRPr="002D1A5E">
        <w:rPr>
          <w:spacing w:val="-1"/>
          <w:sz w:val="22"/>
          <w:szCs w:val="22"/>
        </w:rPr>
        <w:t xml:space="preserve"> </w:t>
      </w:r>
      <w:r w:rsidRPr="002D1A5E">
        <w:rPr>
          <w:sz w:val="22"/>
          <w:szCs w:val="22"/>
        </w:rPr>
        <w:t>DA</w:t>
      </w:r>
      <w:r w:rsidRPr="002D1A5E">
        <w:rPr>
          <w:spacing w:val="-5"/>
          <w:sz w:val="22"/>
          <w:szCs w:val="22"/>
        </w:rPr>
        <w:t xml:space="preserve"> </w:t>
      </w:r>
      <w:r w:rsidRPr="002D1A5E">
        <w:rPr>
          <w:sz w:val="22"/>
          <w:szCs w:val="22"/>
        </w:rPr>
        <w:t>IMPUGNAÇÃO</w:t>
      </w:r>
    </w:p>
    <w:p w:rsidR="00430AC2" w:rsidRDefault="00430AC2" w:rsidP="00CB3E3D">
      <w:pPr>
        <w:pStyle w:val="Ttulo1"/>
        <w:tabs>
          <w:tab w:val="left" w:pos="887"/>
        </w:tabs>
        <w:spacing w:before="214"/>
        <w:ind w:left="851" w:right="798"/>
        <w:jc w:val="both"/>
        <w:rPr>
          <w:rFonts w:eastAsia="Arial MT"/>
          <w:b w:val="0"/>
          <w:bCs w:val="0"/>
          <w:sz w:val="20"/>
          <w:szCs w:val="20"/>
        </w:rPr>
      </w:pPr>
      <w:r>
        <w:rPr>
          <w:rFonts w:eastAsia="Arial MT"/>
          <w:b w:val="0"/>
          <w:bCs w:val="0"/>
          <w:sz w:val="20"/>
          <w:szCs w:val="20"/>
        </w:rPr>
        <w:t>Prezando pela objetividade na resposta ao pedido de impugnação da empresa acima, iremos nos ater ao pedido, as razões e normativos, demais partes, como tabelas</w:t>
      </w:r>
      <w:r w:rsidR="00CB3E3D">
        <w:rPr>
          <w:rFonts w:eastAsia="Arial MT"/>
          <w:b w:val="0"/>
          <w:bCs w:val="0"/>
          <w:sz w:val="20"/>
          <w:szCs w:val="20"/>
        </w:rPr>
        <w:t>, quadros</w:t>
      </w:r>
      <w:r>
        <w:rPr>
          <w:rFonts w:eastAsia="Arial MT"/>
          <w:b w:val="0"/>
          <w:bCs w:val="0"/>
          <w:sz w:val="20"/>
          <w:szCs w:val="20"/>
        </w:rPr>
        <w:t xml:space="preserve"> e outras citações estarão disponíveis na </w:t>
      </w:r>
      <w:r w:rsidRPr="00574A3D">
        <w:rPr>
          <w:rFonts w:eastAsia="Arial MT"/>
          <w:b w:val="0"/>
          <w:bCs w:val="0"/>
          <w:sz w:val="20"/>
          <w:szCs w:val="20"/>
          <w:u w:val="single"/>
        </w:rPr>
        <w:t>íntegra</w:t>
      </w:r>
      <w:r>
        <w:rPr>
          <w:rFonts w:eastAsia="Arial MT"/>
          <w:b w:val="0"/>
          <w:bCs w:val="0"/>
          <w:sz w:val="20"/>
          <w:szCs w:val="20"/>
        </w:rPr>
        <w:t xml:space="preserve"> no portal da transparência da Procuradoria da República no </w:t>
      </w:r>
      <w:r w:rsidR="00CB3E3D">
        <w:rPr>
          <w:rFonts w:eastAsia="Arial MT"/>
          <w:b w:val="0"/>
          <w:bCs w:val="0"/>
          <w:sz w:val="20"/>
          <w:szCs w:val="20"/>
        </w:rPr>
        <w:t>E</w:t>
      </w:r>
      <w:r>
        <w:rPr>
          <w:rFonts w:eastAsia="Arial MT"/>
          <w:b w:val="0"/>
          <w:bCs w:val="0"/>
          <w:sz w:val="20"/>
          <w:szCs w:val="20"/>
        </w:rPr>
        <w:t xml:space="preserve">stado do Pará, no seguinte endereço eletrônico: </w:t>
      </w:r>
      <w:hyperlink r:id="rId9" w:history="1">
        <w:r w:rsidRPr="00414F34">
          <w:rPr>
            <w:rStyle w:val="Hyperlink"/>
            <w:rFonts w:eastAsia="Arial MT"/>
            <w:b w:val="0"/>
            <w:bCs w:val="0"/>
            <w:sz w:val="20"/>
            <w:szCs w:val="20"/>
          </w:rPr>
          <w:t>http://www.mpf.mp.br/pa/transparencia/licitacoes/pregoes/2021/licitacao-srp-n-o-01-2021-equipamentos</w:t>
        </w:r>
      </w:hyperlink>
      <w:r w:rsidR="00CB3E3D">
        <w:rPr>
          <w:rFonts w:eastAsia="Arial MT"/>
          <w:b w:val="0"/>
          <w:bCs w:val="0"/>
          <w:sz w:val="20"/>
          <w:szCs w:val="20"/>
        </w:rPr>
        <w:t>,</w:t>
      </w:r>
      <w:r>
        <w:rPr>
          <w:rFonts w:eastAsia="Arial MT"/>
          <w:b w:val="0"/>
          <w:bCs w:val="0"/>
          <w:sz w:val="20"/>
          <w:szCs w:val="20"/>
        </w:rPr>
        <w:t xml:space="preserve"> para consulta de todos, assim como, a resposta a esta impugnação, além de disponibilizada </w:t>
      </w:r>
      <w:r w:rsidR="00CB3E3D">
        <w:rPr>
          <w:rFonts w:eastAsia="Arial MT"/>
          <w:b w:val="0"/>
          <w:bCs w:val="0"/>
          <w:sz w:val="20"/>
          <w:szCs w:val="20"/>
        </w:rPr>
        <w:t>no</w:t>
      </w:r>
      <w:r w:rsidR="00462D2E">
        <w:rPr>
          <w:rFonts w:eastAsia="Arial MT"/>
          <w:b w:val="0"/>
          <w:bCs w:val="0"/>
          <w:sz w:val="20"/>
          <w:szCs w:val="20"/>
        </w:rPr>
        <w:t xml:space="preserve"> P</w:t>
      </w:r>
      <w:r w:rsidR="00CB3E3D">
        <w:rPr>
          <w:rFonts w:eastAsia="Arial MT"/>
          <w:b w:val="0"/>
          <w:bCs w:val="0"/>
          <w:sz w:val="20"/>
          <w:szCs w:val="20"/>
        </w:rPr>
        <w:t xml:space="preserve">ortal de Compras do Governo Federal, no endereço: </w:t>
      </w:r>
      <w:hyperlink r:id="rId10" w:history="1">
        <w:r w:rsidR="00CB3E3D" w:rsidRPr="00414F34">
          <w:rPr>
            <w:rStyle w:val="Hyperlink"/>
            <w:rFonts w:eastAsia="Arial MT"/>
            <w:b w:val="0"/>
            <w:bCs w:val="0"/>
            <w:sz w:val="20"/>
            <w:szCs w:val="20"/>
          </w:rPr>
          <w:t>https://www.gov.br/compras/pt-br</w:t>
        </w:r>
      </w:hyperlink>
      <w:r w:rsidR="00CB3E3D">
        <w:rPr>
          <w:rFonts w:eastAsia="Arial MT"/>
          <w:b w:val="0"/>
          <w:bCs w:val="0"/>
          <w:sz w:val="20"/>
          <w:szCs w:val="20"/>
        </w:rPr>
        <w:t>.</w:t>
      </w:r>
    </w:p>
    <w:p w:rsidR="004E5724" w:rsidRDefault="004E5724" w:rsidP="004E5724">
      <w:pPr>
        <w:pStyle w:val="Default"/>
        <w:ind w:left="851" w:right="798"/>
        <w:jc w:val="both"/>
        <w:rPr>
          <w:rFonts w:ascii="Arial" w:hAnsi="Arial" w:cs="Arial"/>
          <w:sz w:val="20"/>
          <w:szCs w:val="20"/>
        </w:rPr>
      </w:pPr>
    </w:p>
    <w:p w:rsidR="00E26268" w:rsidRPr="00574A3D" w:rsidRDefault="00C04CE0" w:rsidP="004F6291">
      <w:pPr>
        <w:pStyle w:val="Default"/>
        <w:ind w:left="851" w:right="798"/>
        <w:jc w:val="both"/>
        <w:rPr>
          <w:rFonts w:ascii="Arial" w:hAnsi="Arial" w:cs="Arial"/>
          <w:b/>
          <w:sz w:val="20"/>
          <w:szCs w:val="20"/>
        </w:rPr>
      </w:pPr>
      <w:r w:rsidRPr="004E5724">
        <w:rPr>
          <w:rFonts w:ascii="Arial" w:hAnsi="Arial" w:cs="Arial"/>
          <w:sz w:val="20"/>
          <w:szCs w:val="20"/>
        </w:rPr>
        <w:t>A empresa</w:t>
      </w:r>
      <w:r w:rsidRPr="00574A3D">
        <w:rPr>
          <w:rFonts w:ascii="Arial" w:hAnsi="Arial" w:cs="Arial"/>
          <w:b/>
          <w:sz w:val="20"/>
          <w:szCs w:val="20"/>
        </w:rPr>
        <w:t xml:space="preserve"> </w:t>
      </w:r>
      <w:r w:rsidR="008C3351">
        <w:rPr>
          <w:rFonts w:ascii="Arial" w:hAnsi="Arial" w:cs="Arial"/>
          <w:b/>
          <w:sz w:val="20"/>
          <w:szCs w:val="20"/>
        </w:rPr>
        <w:t>IMPUGNANTE</w:t>
      </w:r>
      <w:r w:rsidR="00E26268" w:rsidRPr="00574A3D">
        <w:rPr>
          <w:rFonts w:ascii="Arial" w:hAnsi="Arial" w:cs="Arial"/>
          <w:b/>
          <w:sz w:val="20"/>
          <w:szCs w:val="20"/>
        </w:rPr>
        <w:t xml:space="preserve"> </w:t>
      </w:r>
      <w:r w:rsidR="004F6291">
        <w:rPr>
          <w:rFonts w:ascii="Arial" w:hAnsi="Arial" w:cs="Arial"/>
          <w:sz w:val="20"/>
          <w:szCs w:val="20"/>
          <w:u w:val="single"/>
        </w:rPr>
        <w:t xml:space="preserve">pugna pela </w:t>
      </w:r>
      <w:r w:rsidR="00E26268" w:rsidRPr="004E5724">
        <w:rPr>
          <w:rFonts w:ascii="Arial" w:hAnsi="Arial" w:cs="Arial"/>
          <w:sz w:val="20"/>
          <w:szCs w:val="20"/>
          <w:u w:val="single"/>
        </w:rPr>
        <w:t>modificação d</w:t>
      </w:r>
      <w:r w:rsidRPr="004E5724">
        <w:rPr>
          <w:rFonts w:ascii="Arial" w:hAnsi="Arial" w:cs="Arial"/>
          <w:sz w:val="20"/>
          <w:szCs w:val="20"/>
          <w:u w:val="single"/>
        </w:rPr>
        <w:t>o Edital</w:t>
      </w:r>
      <w:r w:rsidR="00E26268" w:rsidRPr="004E5724">
        <w:rPr>
          <w:rFonts w:ascii="Arial" w:hAnsi="Arial" w:cs="Arial"/>
          <w:sz w:val="20"/>
          <w:szCs w:val="20"/>
          <w:u w:val="single"/>
        </w:rPr>
        <w:t xml:space="preserve"> da </w:t>
      </w:r>
      <w:r w:rsidR="00574A3D" w:rsidRPr="004E5724">
        <w:rPr>
          <w:rFonts w:ascii="Arial" w:hAnsi="Arial" w:cs="Arial"/>
          <w:sz w:val="20"/>
          <w:szCs w:val="20"/>
          <w:u w:val="single"/>
        </w:rPr>
        <w:t>l</w:t>
      </w:r>
      <w:r w:rsidR="00E26268" w:rsidRPr="004E5724">
        <w:rPr>
          <w:rFonts w:ascii="Arial" w:hAnsi="Arial" w:cs="Arial"/>
          <w:sz w:val="20"/>
          <w:szCs w:val="20"/>
          <w:u w:val="single"/>
        </w:rPr>
        <w:t>icitação</w:t>
      </w:r>
      <w:r w:rsidR="00E26268" w:rsidRPr="004E5724">
        <w:rPr>
          <w:rFonts w:ascii="Arial" w:hAnsi="Arial" w:cs="Arial"/>
          <w:sz w:val="20"/>
          <w:szCs w:val="20"/>
        </w:rPr>
        <w:t>,</w:t>
      </w:r>
      <w:r w:rsidR="004E5724">
        <w:rPr>
          <w:rFonts w:ascii="Arial" w:hAnsi="Arial" w:cs="Arial"/>
          <w:sz w:val="20"/>
          <w:szCs w:val="20"/>
        </w:rPr>
        <w:t xml:space="preserve"> reproduzo</w:t>
      </w:r>
      <w:r w:rsidR="00344569">
        <w:rPr>
          <w:rFonts w:ascii="Arial" w:hAnsi="Arial" w:cs="Arial"/>
          <w:sz w:val="20"/>
          <w:szCs w:val="20"/>
        </w:rPr>
        <w:t xml:space="preserve"> </w:t>
      </w:r>
      <w:r w:rsidR="004E5724">
        <w:rPr>
          <w:rFonts w:ascii="Arial" w:hAnsi="Arial" w:cs="Arial"/>
          <w:sz w:val="20"/>
          <w:szCs w:val="20"/>
        </w:rPr>
        <w:t>o seu pedido “</w:t>
      </w:r>
      <w:r w:rsidR="004E5724" w:rsidRPr="004E5724">
        <w:rPr>
          <w:rFonts w:ascii="Arial" w:hAnsi="Arial" w:cs="Arial"/>
          <w:i/>
          <w:sz w:val="18"/>
          <w:szCs w:val="18"/>
        </w:rPr>
        <w:t>em face da constatação de irregularidades na habilitação do referido pregão, frente aos itens 29 e 30, que é solicitado Quadro Branco que são fabricados com fundo em madeira (MDF, Compensado, Eucatex, HDF, Duratex, Aglomerado) e vidro para dar sustentação ao quadro, sem exceção, não existindo outro material para fabricação, ou seja os quadros são confeccionados com matéria prima principal/estrutura a madeira e o vidro, assim como qualquer outro mobiliário confeccionado de madeira e vidro (Mesa, Armário, Porta dentre outros)</w:t>
      </w:r>
      <w:r w:rsidR="004E5724">
        <w:rPr>
          <w:rFonts w:ascii="Arial" w:hAnsi="Arial" w:cs="Arial"/>
          <w:i/>
          <w:sz w:val="20"/>
          <w:szCs w:val="20"/>
        </w:rPr>
        <w:t>”</w:t>
      </w:r>
      <w:r w:rsidR="004E5724" w:rsidRPr="004E5724">
        <w:rPr>
          <w:rFonts w:ascii="Arial" w:hAnsi="Arial" w:cs="Arial"/>
          <w:i/>
          <w:sz w:val="20"/>
          <w:szCs w:val="20"/>
        </w:rPr>
        <w:t>.</w:t>
      </w:r>
      <w:r w:rsidR="004E5724">
        <w:rPr>
          <w:rFonts w:ascii="Arial" w:hAnsi="Arial" w:cs="Arial"/>
          <w:i/>
          <w:sz w:val="20"/>
          <w:szCs w:val="20"/>
        </w:rPr>
        <w:t xml:space="preserve"> </w:t>
      </w:r>
      <w:r w:rsidR="004E5724" w:rsidRPr="004E5724">
        <w:rPr>
          <w:rFonts w:ascii="Arial" w:hAnsi="Arial" w:cs="Arial"/>
          <w:sz w:val="20"/>
          <w:szCs w:val="20"/>
        </w:rPr>
        <w:t>E continua:</w:t>
      </w:r>
      <w:r w:rsidR="004E5724" w:rsidRPr="004E5724">
        <w:rPr>
          <w:i/>
          <w:sz w:val="20"/>
          <w:szCs w:val="20"/>
        </w:rPr>
        <w:t xml:space="preserve"> </w:t>
      </w:r>
      <w:r w:rsidR="004E5724" w:rsidRPr="004F6291">
        <w:rPr>
          <w:rFonts w:ascii="Arial" w:hAnsi="Arial" w:cs="Arial"/>
          <w:i/>
          <w:sz w:val="18"/>
          <w:szCs w:val="18"/>
        </w:rPr>
        <w:t>“A madeira e o vidro são as principais matérias primas do quadro, que compõe a sua estrutura, e estão enquadrados no Anexo I da Instrução Normativa IBAMA n° 6, de 15/03/2013, a qual trouxe modificações ao Anexo II da Instrução Normativa IBAMA n° 31, de 03/12/2009, do qual o Pregoeiro deveria solicitar ao licitante provisoriamente classificado em primeiro lugar que apresente ou envie imediatamente, sob pena de não-aceitação da proposta, o Comprovante de Registro do fabricante do produto no Cadastro Técnico Federal do Ibama, acompanhado do respectivo Certificado de Regularidade válido com chave de Autenticação, Instituído pelo artigo 17, inciso II, da lei nº 6.938, de 1981, conforme a Lei Federal nº 6.938/1981 e alterações dadas pela Lei nº 10.165/2000, e legislação correlata, pois o vidro é altamente poluidor do meio ambiente”</w:t>
      </w:r>
      <w:r w:rsidR="004E5724">
        <w:rPr>
          <w:sz w:val="20"/>
          <w:szCs w:val="20"/>
        </w:rPr>
        <w:t>.</w:t>
      </w:r>
      <w:r w:rsidR="004E5724">
        <w:rPr>
          <w:rFonts w:ascii="Arial" w:eastAsia="NSimSun" w:hAnsi="Arial" w:cs="Lucida Sans"/>
          <w:kern w:val="2"/>
          <w:sz w:val="20"/>
          <w:szCs w:val="20"/>
          <w:lang w:eastAsia="zh-CN" w:bidi="hi-IN"/>
        </w:rPr>
        <w:t xml:space="preserve"> A</w:t>
      </w:r>
      <w:r w:rsidR="00E26268" w:rsidRPr="004E5724">
        <w:rPr>
          <w:rFonts w:ascii="Arial" w:hAnsi="Arial" w:cs="Arial"/>
          <w:sz w:val="20"/>
          <w:szCs w:val="20"/>
        </w:rPr>
        <w:t xml:space="preserve">baixo o seu </w:t>
      </w:r>
      <w:r w:rsidR="00E26268" w:rsidRPr="004E5724">
        <w:rPr>
          <w:rFonts w:ascii="Arial" w:hAnsi="Arial" w:cs="Arial"/>
          <w:sz w:val="20"/>
          <w:szCs w:val="20"/>
          <w:u w:val="single"/>
        </w:rPr>
        <w:t>requerimento</w:t>
      </w:r>
      <w:r w:rsidR="00E26268" w:rsidRPr="00574A3D">
        <w:rPr>
          <w:rFonts w:ascii="Arial" w:hAnsi="Arial" w:cs="Arial"/>
          <w:b/>
          <w:sz w:val="20"/>
          <w:szCs w:val="20"/>
        </w:rPr>
        <w:t>:</w:t>
      </w:r>
    </w:p>
    <w:p w:rsidR="00E26268" w:rsidRPr="00E26268" w:rsidRDefault="00E26268" w:rsidP="00E26268">
      <w:pPr>
        <w:pStyle w:val="Corpodetexto"/>
        <w:numPr>
          <w:ilvl w:val="0"/>
          <w:numId w:val="4"/>
        </w:numPr>
        <w:spacing w:before="123"/>
        <w:ind w:right="798"/>
        <w:jc w:val="both"/>
        <w:rPr>
          <w:rFonts w:ascii="Arial" w:hAnsi="Arial" w:cs="Arial"/>
          <w:sz w:val="20"/>
          <w:szCs w:val="20"/>
        </w:rPr>
      </w:pPr>
      <w:r>
        <w:rPr>
          <w:sz w:val="20"/>
          <w:szCs w:val="20"/>
        </w:rPr>
        <w:t>“</w:t>
      </w:r>
      <w:r w:rsidRPr="00E26268">
        <w:rPr>
          <w:i/>
          <w:sz w:val="18"/>
          <w:szCs w:val="18"/>
        </w:rPr>
        <w:t>O conhecimento da presente IMPUGNAÇÃO em face de sua legitimidade e tempestividade</w:t>
      </w:r>
      <w:r>
        <w:rPr>
          <w:sz w:val="20"/>
          <w:szCs w:val="20"/>
        </w:rPr>
        <w:t>”;</w:t>
      </w:r>
    </w:p>
    <w:p w:rsidR="00E26268" w:rsidRPr="00E26268" w:rsidRDefault="00E26268" w:rsidP="00E26268">
      <w:pPr>
        <w:pStyle w:val="Corpodetexto"/>
        <w:numPr>
          <w:ilvl w:val="0"/>
          <w:numId w:val="4"/>
        </w:numPr>
        <w:spacing w:before="123"/>
        <w:ind w:right="798"/>
        <w:jc w:val="both"/>
        <w:rPr>
          <w:rFonts w:ascii="Arial" w:hAnsi="Arial" w:cs="Arial"/>
          <w:sz w:val="20"/>
          <w:szCs w:val="20"/>
        </w:rPr>
      </w:pPr>
      <w:r>
        <w:rPr>
          <w:sz w:val="20"/>
          <w:szCs w:val="20"/>
        </w:rPr>
        <w:t>“</w:t>
      </w:r>
      <w:r w:rsidRPr="00E26268">
        <w:rPr>
          <w:i/>
          <w:sz w:val="18"/>
          <w:szCs w:val="18"/>
        </w:rPr>
        <w:t>A concessão de efeito suspensivo à presente IMPUGNAÇÃO</w:t>
      </w:r>
      <w:r>
        <w:rPr>
          <w:i/>
          <w:sz w:val="18"/>
          <w:szCs w:val="18"/>
        </w:rPr>
        <w:t>”</w:t>
      </w:r>
      <w:r>
        <w:rPr>
          <w:sz w:val="20"/>
          <w:szCs w:val="20"/>
        </w:rPr>
        <w:t>;</w:t>
      </w:r>
    </w:p>
    <w:p w:rsidR="00E26268" w:rsidRPr="00E26268" w:rsidRDefault="00E26268" w:rsidP="00E26268">
      <w:pPr>
        <w:pStyle w:val="Corpodetexto"/>
        <w:numPr>
          <w:ilvl w:val="0"/>
          <w:numId w:val="4"/>
        </w:numPr>
        <w:spacing w:before="123"/>
        <w:ind w:right="798"/>
        <w:jc w:val="both"/>
        <w:rPr>
          <w:rFonts w:ascii="Arial" w:hAnsi="Arial" w:cs="Arial"/>
          <w:sz w:val="20"/>
          <w:szCs w:val="20"/>
        </w:rPr>
      </w:pPr>
      <w:r>
        <w:rPr>
          <w:sz w:val="20"/>
          <w:szCs w:val="20"/>
        </w:rPr>
        <w:t>“</w:t>
      </w:r>
      <w:r w:rsidRPr="00E26268">
        <w:rPr>
          <w:i/>
          <w:sz w:val="18"/>
          <w:szCs w:val="18"/>
        </w:rPr>
        <w:t>No mérito, a concessão de integral PROVIMENTO à presente IMPUGNAÇÃO, face à total pertinência dos argumentos e fundamentos legais apresentados</w:t>
      </w:r>
      <w:r>
        <w:rPr>
          <w:i/>
          <w:sz w:val="18"/>
          <w:szCs w:val="18"/>
        </w:rPr>
        <w:t>”</w:t>
      </w:r>
      <w:r>
        <w:rPr>
          <w:sz w:val="20"/>
          <w:szCs w:val="20"/>
        </w:rPr>
        <w:t>;</w:t>
      </w:r>
    </w:p>
    <w:p w:rsidR="00E26268" w:rsidRPr="00E26268" w:rsidRDefault="00E26268" w:rsidP="00E26268">
      <w:pPr>
        <w:pStyle w:val="Corpodetexto"/>
        <w:numPr>
          <w:ilvl w:val="0"/>
          <w:numId w:val="4"/>
        </w:numPr>
        <w:spacing w:before="123"/>
        <w:ind w:right="798"/>
        <w:jc w:val="both"/>
        <w:rPr>
          <w:rFonts w:ascii="Arial" w:hAnsi="Arial" w:cs="Arial"/>
          <w:i/>
          <w:sz w:val="18"/>
          <w:szCs w:val="18"/>
        </w:rPr>
      </w:pPr>
      <w:r>
        <w:rPr>
          <w:sz w:val="20"/>
          <w:szCs w:val="20"/>
        </w:rPr>
        <w:t>“</w:t>
      </w:r>
      <w:r w:rsidRPr="00E26268">
        <w:rPr>
          <w:b/>
          <w:bCs/>
          <w:i/>
          <w:sz w:val="18"/>
          <w:szCs w:val="18"/>
        </w:rPr>
        <w:t>Que em razão do provimento da presente IMPUGNAÇÃO, seja realizada modificação no edital, para inclusão de subitem contendo as seguintes exigências:</w:t>
      </w:r>
      <w:r>
        <w:rPr>
          <w:b/>
          <w:bCs/>
          <w:i/>
          <w:sz w:val="18"/>
          <w:szCs w:val="18"/>
        </w:rPr>
        <w:t xml:space="preserve"> </w:t>
      </w:r>
      <w:r w:rsidRPr="00E26268">
        <w:rPr>
          <w:b/>
          <w:bCs/>
          <w:i/>
          <w:sz w:val="18"/>
          <w:szCs w:val="18"/>
        </w:rPr>
        <w:t xml:space="preserve">- Solicitar ao licitante provisoriamente classificado em primeiro lugar que apresente ou envie imediatamente, sob pena de não-aceitação da proposta, o Comprovante de Registro do fabricante do produto no Cadastro Técnico Federal do Ibama, acompanhado do respectivo Certificado de </w:t>
      </w:r>
      <w:r w:rsidRPr="00E26268">
        <w:rPr>
          <w:b/>
          <w:bCs/>
          <w:i/>
          <w:sz w:val="18"/>
          <w:szCs w:val="18"/>
        </w:rPr>
        <w:lastRenderedPageBreak/>
        <w:t>Regularidade válido com chave de Autenticação, Instituído pelo artigo 17, inciso II, da lei nº 6.938, de 1981, readequando o edital a Instrução Normativa nº 6, de 15 de março de 2013, a qual trouxe modificações à Instrução Normativa nº 31, de 3 de dezembro de 2009, conforme a Lei Federal nº 6.938/1981 e alterações dadas pela Lei nº 10.165/2000, e legislação correlata.</w:t>
      </w:r>
      <w:r>
        <w:rPr>
          <w:b/>
          <w:bCs/>
          <w:i/>
          <w:sz w:val="18"/>
          <w:szCs w:val="18"/>
        </w:rPr>
        <w:t xml:space="preserve"> </w:t>
      </w:r>
      <w:r w:rsidRPr="00E26268">
        <w:rPr>
          <w:i/>
          <w:sz w:val="18"/>
          <w:szCs w:val="18"/>
        </w:rPr>
        <w:t>Que o Fabricante do produto deverá estar escrito nas corretas categorias do Cadastro Técnico Federal</w:t>
      </w:r>
      <w:r>
        <w:rPr>
          <w:i/>
          <w:sz w:val="18"/>
          <w:szCs w:val="18"/>
        </w:rPr>
        <w:t>”;</w:t>
      </w:r>
    </w:p>
    <w:p w:rsidR="00E26268" w:rsidRPr="00E26268" w:rsidRDefault="00E26268" w:rsidP="00E26268">
      <w:pPr>
        <w:pStyle w:val="Corpodetexto"/>
        <w:numPr>
          <w:ilvl w:val="0"/>
          <w:numId w:val="4"/>
        </w:numPr>
        <w:spacing w:before="123"/>
        <w:ind w:right="798"/>
        <w:jc w:val="both"/>
        <w:rPr>
          <w:rFonts w:ascii="Arial" w:hAnsi="Arial" w:cs="Arial"/>
          <w:i/>
          <w:sz w:val="18"/>
          <w:szCs w:val="18"/>
        </w:rPr>
      </w:pPr>
      <w:r>
        <w:rPr>
          <w:rFonts w:ascii="Arial" w:hAnsi="Arial" w:cs="Arial"/>
          <w:i/>
          <w:sz w:val="18"/>
          <w:szCs w:val="18"/>
        </w:rPr>
        <w:t>“</w:t>
      </w:r>
      <w:r w:rsidRPr="00E26268">
        <w:rPr>
          <w:b/>
          <w:bCs/>
          <w:i/>
          <w:sz w:val="18"/>
          <w:szCs w:val="18"/>
        </w:rPr>
        <w:t>Solicitar no edital a Capacidade Técnica através da Comprovação de aptidão para fornecimento de bens em características, quantidades e prazos similares ao objeto deste Pregão, que se fará através de apresentação de atestado em nome do licitante, expedido por pessoa jurídica de direito público ou privado, que é de suma importância e assegura a qualidade do produto</w:t>
      </w:r>
      <w:r>
        <w:rPr>
          <w:b/>
          <w:bCs/>
          <w:i/>
          <w:sz w:val="18"/>
          <w:szCs w:val="18"/>
        </w:rPr>
        <w:t>”.</w:t>
      </w:r>
    </w:p>
    <w:p w:rsidR="00E26268" w:rsidRPr="00574A3D" w:rsidRDefault="00E26268" w:rsidP="00E26268">
      <w:pPr>
        <w:pStyle w:val="Corpodetexto"/>
        <w:numPr>
          <w:ilvl w:val="0"/>
          <w:numId w:val="4"/>
        </w:numPr>
        <w:spacing w:before="123"/>
        <w:ind w:right="798"/>
        <w:jc w:val="both"/>
        <w:rPr>
          <w:rFonts w:ascii="Arial" w:hAnsi="Arial" w:cs="Arial"/>
          <w:i/>
          <w:sz w:val="18"/>
          <w:szCs w:val="18"/>
        </w:rPr>
      </w:pPr>
      <w:r>
        <w:rPr>
          <w:rFonts w:ascii="Arial" w:hAnsi="Arial" w:cs="Arial"/>
          <w:i/>
          <w:sz w:val="18"/>
          <w:szCs w:val="18"/>
        </w:rPr>
        <w:t>“</w:t>
      </w:r>
      <w:r w:rsidRPr="00E26268">
        <w:rPr>
          <w:i/>
          <w:sz w:val="18"/>
          <w:szCs w:val="18"/>
        </w:rPr>
        <w:t xml:space="preserve">Requer, ainda, a republicação das previsões editalícias, escoimadas dos vícios apontados, reabrindo-se o prazo inicialmente previsto, conforme </w:t>
      </w:r>
      <w:r w:rsidRPr="00E26268">
        <w:rPr>
          <w:i/>
          <w:iCs/>
          <w:sz w:val="18"/>
          <w:szCs w:val="18"/>
        </w:rPr>
        <w:t xml:space="preserve">§ </w:t>
      </w:r>
      <w:r w:rsidRPr="00E26268">
        <w:rPr>
          <w:i/>
          <w:sz w:val="18"/>
          <w:szCs w:val="18"/>
        </w:rPr>
        <w:t>4°, do art. 21, da Lei nº 8666/93</w:t>
      </w:r>
      <w:r>
        <w:rPr>
          <w:i/>
          <w:sz w:val="18"/>
          <w:szCs w:val="18"/>
        </w:rPr>
        <w:t>”</w:t>
      </w:r>
      <w:r w:rsidRPr="00E26268">
        <w:rPr>
          <w:i/>
          <w:sz w:val="18"/>
          <w:szCs w:val="18"/>
        </w:rPr>
        <w:t>.</w:t>
      </w:r>
    </w:p>
    <w:p w:rsidR="00574A3D" w:rsidRPr="00574A3D" w:rsidRDefault="00574A3D" w:rsidP="00E26268">
      <w:pPr>
        <w:pStyle w:val="Corpodetexto"/>
        <w:numPr>
          <w:ilvl w:val="0"/>
          <w:numId w:val="4"/>
        </w:numPr>
        <w:spacing w:before="123"/>
        <w:ind w:right="798"/>
        <w:jc w:val="both"/>
        <w:rPr>
          <w:rFonts w:ascii="Arial" w:hAnsi="Arial" w:cs="Arial"/>
          <w:i/>
          <w:sz w:val="18"/>
          <w:szCs w:val="18"/>
        </w:rPr>
      </w:pPr>
      <w:r>
        <w:rPr>
          <w:rFonts w:ascii="Arial" w:hAnsi="Arial" w:cs="Arial"/>
          <w:i/>
          <w:sz w:val="18"/>
          <w:szCs w:val="18"/>
        </w:rPr>
        <w:t>“</w:t>
      </w:r>
      <w:r w:rsidRPr="00574A3D">
        <w:rPr>
          <w:i/>
          <w:sz w:val="18"/>
          <w:szCs w:val="18"/>
        </w:rPr>
        <w:t>E, por fim, requer que, no caso de indeferimento da presente peça, o que se levanta a título meramente argumentativo, seja a mesma remetida à autoridade hierárquica imediatamente superior, para que tome ciência do assunto aqui tratado e emita seu parecer</w:t>
      </w:r>
      <w:r>
        <w:rPr>
          <w:i/>
          <w:sz w:val="18"/>
          <w:szCs w:val="18"/>
        </w:rPr>
        <w:t>”</w:t>
      </w:r>
      <w:r w:rsidRPr="00574A3D">
        <w:rPr>
          <w:i/>
          <w:sz w:val="18"/>
          <w:szCs w:val="18"/>
        </w:rPr>
        <w:t>.</w:t>
      </w:r>
    </w:p>
    <w:p w:rsidR="00E26268" w:rsidRPr="00E26268" w:rsidRDefault="00E26268" w:rsidP="00E26268">
      <w:pPr>
        <w:pStyle w:val="Corpodetexto"/>
        <w:spacing w:before="123"/>
        <w:ind w:left="1211" w:right="798"/>
        <w:jc w:val="both"/>
        <w:rPr>
          <w:rFonts w:ascii="Arial" w:hAnsi="Arial" w:cs="Arial"/>
          <w:i/>
          <w:sz w:val="18"/>
          <w:szCs w:val="18"/>
        </w:rPr>
      </w:pPr>
    </w:p>
    <w:p w:rsidR="007610C5" w:rsidRPr="00574A3D" w:rsidRDefault="00C04CE0" w:rsidP="00574A3D">
      <w:pPr>
        <w:pStyle w:val="Ttulo1"/>
        <w:numPr>
          <w:ilvl w:val="0"/>
          <w:numId w:val="3"/>
        </w:numPr>
        <w:tabs>
          <w:tab w:val="left" w:pos="887"/>
        </w:tabs>
        <w:spacing w:before="214"/>
        <w:rPr>
          <w:spacing w:val="-4"/>
          <w:sz w:val="22"/>
          <w:szCs w:val="22"/>
        </w:rPr>
      </w:pPr>
      <w:r w:rsidRPr="00574A3D">
        <w:rPr>
          <w:spacing w:val="-4"/>
          <w:sz w:val="22"/>
          <w:szCs w:val="22"/>
        </w:rPr>
        <w:t>DA ANÁLISE DOS PEDIDOS</w:t>
      </w:r>
    </w:p>
    <w:p w:rsidR="00574A3D" w:rsidRDefault="00574A3D" w:rsidP="00574A3D">
      <w:pPr>
        <w:pStyle w:val="Corpodetexto"/>
        <w:spacing w:before="123"/>
        <w:ind w:left="851" w:right="798"/>
        <w:jc w:val="both"/>
        <w:rPr>
          <w:rFonts w:ascii="Arial" w:hAnsi="Arial" w:cs="Arial"/>
          <w:sz w:val="20"/>
          <w:szCs w:val="20"/>
        </w:rPr>
      </w:pPr>
      <w:r>
        <w:rPr>
          <w:rFonts w:ascii="Arial" w:hAnsi="Arial" w:cs="Arial"/>
          <w:sz w:val="20"/>
          <w:szCs w:val="20"/>
        </w:rPr>
        <w:t>Iremos responder de acordo com a numeração dos pedidos da empresa para uma melhor didática e compreensão</w:t>
      </w:r>
      <w:r w:rsidR="0034753D">
        <w:rPr>
          <w:rFonts w:ascii="Arial" w:hAnsi="Arial" w:cs="Arial"/>
          <w:sz w:val="20"/>
          <w:szCs w:val="20"/>
        </w:rPr>
        <w:t xml:space="preserve">, podendo em algum momento, caso necessário, mesclar entre respostas que tenham correlação de modo a </w:t>
      </w:r>
      <w:r w:rsidR="001B791E">
        <w:rPr>
          <w:rFonts w:ascii="Arial" w:hAnsi="Arial" w:cs="Arial"/>
          <w:sz w:val="20"/>
          <w:szCs w:val="20"/>
        </w:rPr>
        <w:t>explicar</w:t>
      </w:r>
      <w:r w:rsidR="0034753D">
        <w:rPr>
          <w:rFonts w:ascii="Arial" w:hAnsi="Arial" w:cs="Arial"/>
          <w:sz w:val="20"/>
          <w:szCs w:val="20"/>
        </w:rPr>
        <w:t xml:space="preserve"> </w:t>
      </w:r>
      <w:r w:rsidR="001B791E">
        <w:rPr>
          <w:rFonts w:ascii="Arial" w:hAnsi="Arial" w:cs="Arial"/>
          <w:sz w:val="20"/>
          <w:szCs w:val="20"/>
        </w:rPr>
        <w:t>melhor o questionamento.</w:t>
      </w:r>
      <w:r w:rsidR="0034753D">
        <w:rPr>
          <w:rFonts w:ascii="Arial" w:hAnsi="Arial" w:cs="Arial"/>
          <w:sz w:val="20"/>
          <w:szCs w:val="20"/>
        </w:rPr>
        <w:t xml:space="preserve"> </w:t>
      </w:r>
    </w:p>
    <w:p w:rsidR="00574A3D" w:rsidRDefault="00574A3D" w:rsidP="00574A3D">
      <w:pPr>
        <w:pStyle w:val="Corpodetexto"/>
        <w:spacing w:before="123"/>
        <w:ind w:left="851" w:right="798"/>
        <w:jc w:val="both"/>
        <w:rPr>
          <w:rFonts w:ascii="Arial" w:hAnsi="Arial" w:cs="Arial"/>
          <w:sz w:val="20"/>
          <w:szCs w:val="20"/>
        </w:rPr>
      </w:pPr>
      <w:r w:rsidRPr="001B791E">
        <w:rPr>
          <w:rFonts w:ascii="Arial" w:hAnsi="Arial" w:cs="Arial"/>
          <w:b/>
          <w:sz w:val="20"/>
          <w:szCs w:val="20"/>
        </w:rPr>
        <w:t>Resposta 1</w:t>
      </w:r>
      <w:r>
        <w:rPr>
          <w:rFonts w:ascii="Arial" w:hAnsi="Arial" w:cs="Arial"/>
          <w:sz w:val="20"/>
          <w:szCs w:val="20"/>
        </w:rPr>
        <w:t xml:space="preserve">: </w:t>
      </w:r>
      <w:r w:rsidR="0034753D">
        <w:rPr>
          <w:rFonts w:ascii="Arial" w:hAnsi="Arial" w:cs="Arial"/>
          <w:sz w:val="20"/>
          <w:szCs w:val="20"/>
        </w:rPr>
        <w:t xml:space="preserve">Respondido acima no item 1 (Da tempestividade da impugnação), considerado </w:t>
      </w:r>
      <w:r w:rsidR="00637CD5">
        <w:rPr>
          <w:rFonts w:ascii="Arial" w:hAnsi="Arial" w:cs="Arial"/>
          <w:sz w:val="20"/>
          <w:szCs w:val="20"/>
        </w:rPr>
        <w:t xml:space="preserve">legítimo e </w:t>
      </w:r>
      <w:r w:rsidR="0034753D">
        <w:rPr>
          <w:rFonts w:ascii="Arial" w:hAnsi="Arial" w:cs="Arial"/>
          <w:sz w:val="20"/>
          <w:szCs w:val="20"/>
        </w:rPr>
        <w:t>tempestivo.</w:t>
      </w:r>
    </w:p>
    <w:p w:rsidR="001B791E" w:rsidRDefault="0034753D" w:rsidP="00574A3D">
      <w:pPr>
        <w:pStyle w:val="Corpodetexto"/>
        <w:spacing w:before="123"/>
        <w:ind w:left="851" w:right="798"/>
        <w:jc w:val="both"/>
        <w:rPr>
          <w:rFonts w:ascii="Arial" w:hAnsi="Arial" w:cs="Arial"/>
          <w:i/>
          <w:sz w:val="18"/>
          <w:szCs w:val="18"/>
        </w:rPr>
      </w:pPr>
      <w:r w:rsidRPr="001B791E">
        <w:rPr>
          <w:rFonts w:ascii="Arial" w:hAnsi="Arial" w:cs="Arial"/>
          <w:b/>
          <w:sz w:val="20"/>
          <w:szCs w:val="20"/>
        </w:rPr>
        <w:t>Resposta 2</w:t>
      </w:r>
      <w:r>
        <w:rPr>
          <w:rFonts w:ascii="Arial" w:hAnsi="Arial" w:cs="Arial"/>
          <w:sz w:val="20"/>
          <w:szCs w:val="20"/>
        </w:rPr>
        <w:t xml:space="preserve">: </w:t>
      </w:r>
      <w:r w:rsidR="001B791E">
        <w:rPr>
          <w:rFonts w:ascii="Arial" w:hAnsi="Arial" w:cs="Arial"/>
          <w:sz w:val="20"/>
          <w:szCs w:val="20"/>
        </w:rPr>
        <w:t>Vejamos o que diz o Decreto n.º 10.024/2019, que regulamenta a licitação, na modalidade pregão, na forma eletrônica, em seu art. 24, §1º “</w:t>
      </w:r>
      <w:r w:rsidR="001B791E" w:rsidRPr="00AD3844">
        <w:rPr>
          <w:rFonts w:ascii="Arial" w:hAnsi="Arial" w:cs="Arial"/>
          <w:b/>
          <w:i/>
          <w:color w:val="000000"/>
          <w:sz w:val="18"/>
          <w:szCs w:val="18"/>
          <w:u w:val="single"/>
        </w:rPr>
        <w:t>A impugnação não possui efeito suspensivo</w:t>
      </w:r>
      <w:r w:rsidR="001B791E" w:rsidRPr="001B791E">
        <w:rPr>
          <w:rFonts w:ascii="Arial" w:hAnsi="Arial" w:cs="Arial"/>
          <w:i/>
          <w:color w:val="000000"/>
          <w:sz w:val="18"/>
          <w:szCs w:val="18"/>
        </w:rPr>
        <w:t xml:space="preserve"> e caberá ao pregoeiro, auxiliado pelos responsáveis pela elaboração do edital e dos anexos, decidir sobre a impugnação no prazo de dois dias úteis, contado do data de recebimento da impugnação</w:t>
      </w:r>
      <w:r w:rsidR="001B791E">
        <w:rPr>
          <w:rFonts w:ascii="Arial" w:hAnsi="Arial" w:cs="Arial"/>
          <w:i/>
          <w:color w:val="000000"/>
          <w:sz w:val="18"/>
          <w:szCs w:val="18"/>
        </w:rPr>
        <w:t>”</w:t>
      </w:r>
      <w:r w:rsidR="001B791E" w:rsidRPr="001B791E">
        <w:rPr>
          <w:rFonts w:ascii="Arial" w:hAnsi="Arial" w:cs="Arial"/>
          <w:i/>
          <w:color w:val="000000"/>
          <w:sz w:val="18"/>
          <w:szCs w:val="18"/>
        </w:rPr>
        <w:t>.</w:t>
      </w:r>
      <w:r w:rsidR="001B791E" w:rsidRPr="001B791E">
        <w:rPr>
          <w:rFonts w:ascii="Arial" w:hAnsi="Arial" w:cs="Arial"/>
          <w:i/>
          <w:sz w:val="18"/>
          <w:szCs w:val="18"/>
        </w:rPr>
        <w:t xml:space="preserve"> </w:t>
      </w:r>
    </w:p>
    <w:p w:rsidR="0034753D" w:rsidRDefault="001B791E" w:rsidP="00574A3D">
      <w:pPr>
        <w:pStyle w:val="Corpodetexto"/>
        <w:spacing w:before="123"/>
        <w:ind w:left="851" w:right="798"/>
        <w:jc w:val="both"/>
        <w:rPr>
          <w:rFonts w:ascii="Arial" w:hAnsi="Arial" w:cs="Arial"/>
          <w:i/>
          <w:color w:val="000000"/>
          <w:sz w:val="18"/>
          <w:szCs w:val="18"/>
        </w:rPr>
      </w:pPr>
      <w:r w:rsidRPr="001B791E">
        <w:rPr>
          <w:rFonts w:ascii="Arial" w:hAnsi="Arial" w:cs="Arial"/>
          <w:sz w:val="20"/>
          <w:szCs w:val="20"/>
        </w:rPr>
        <w:t>E ainda no §2º</w:t>
      </w:r>
      <w:r>
        <w:rPr>
          <w:rFonts w:ascii="Arial" w:hAnsi="Arial" w:cs="Arial"/>
          <w:i/>
          <w:sz w:val="18"/>
          <w:szCs w:val="18"/>
        </w:rPr>
        <w:t xml:space="preserve"> “</w:t>
      </w:r>
      <w:r w:rsidRPr="001B791E">
        <w:rPr>
          <w:rFonts w:ascii="Arial" w:hAnsi="Arial" w:cs="Arial"/>
          <w:i/>
          <w:color w:val="000000"/>
          <w:sz w:val="18"/>
          <w:szCs w:val="18"/>
        </w:rPr>
        <w:t xml:space="preserve">A concessão de efeito suspensivo à impugnação é </w:t>
      </w:r>
      <w:r w:rsidRPr="00AD3844">
        <w:rPr>
          <w:rFonts w:ascii="Arial" w:hAnsi="Arial" w:cs="Arial"/>
          <w:b/>
          <w:i/>
          <w:color w:val="000000"/>
          <w:sz w:val="18"/>
          <w:szCs w:val="18"/>
          <w:u w:val="single"/>
        </w:rPr>
        <w:t>medida excepcional</w:t>
      </w:r>
      <w:r w:rsidRPr="001B791E">
        <w:rPr>
          <w:rFonts w:ascii="Arial" w:hAnsi="Arial" w:cs="Arial"/>
          <w:i/>
          <w:color w:val="000000"/>
          <w:sz w:val="18"/>
          <w:szCs w:val="18"/>
        </w:rPr>
        <w:t xml:space="preserve"> e deverá ser motivada pelo pregoeiro, nos autos do processo de licitação</w:t>
      </w:r>
      <w:r>
        <w:rPr>
          <w:rFonts w:ascii="Arial" w:hAnsi="Arial" w:cs="Arial"/>
          <w:i/>
          <w:color w:val="000000"/>
          <w:sz w:val="18"/>
          <w:szCs w:val="18"/>
        </w:rPr>
        <w:t>”</w:t>
      </w:r>
      <w:r w:rsidRPr="001B791E">
        <w:rPr>
          <w:rFonts w:ascii="Arial" w:hAnsi="Arial" w:cs="Arial"/>
          <w:i/>
          <w:color w:val="000000"/>
          <w:sz w:val="18"/>
          <w:szCs w:val="18"/>
        </w:rPr>
        <w:t>.</w:t>
      </w:r>
    </w:p>
    <w:p w:rsidR="001B791E" w:rsidRDefault="001B791E" w:rsidP="00574A3D">
      <w:pPr>
        <w:pStyle w:val="Corpodetexto"/>
        <w:spacing w:before="123"/>
        <w:ind w:left="851" w:right="798"/>
        <w:jc w:val="both"/>
        <w:rPr>
          <w:rFonts w:ascii="Arial" w:hAnsi="Arial" w:cs="Arial"/>
          <w:sz w:val="20"/>
          <w:szCs w:val="20"/>
        </w:rPr>
      </w:pPr>
      <w:r>
        <w:rPr>
          <w:rFonts w:ascii="Arial" w:hAnsi="Arial" w:cs="Arial"/>
          <w:sz w:val="20"/>
          <w:szCs w:val="20"/>
        </w:rPr>
        <w:t>De acordo com o normativo acima e verific</w:t>
      </w:r>
      <w:r w:rsidR="00637CD5">
        <w:rPr>
          <w:rFonts w:ascii="Arial" w:hAnsi="Arial" w:cs="Arial"/>
          <w:sz w:val="20"/>
          <w:szCs w:val="20"/>
        </w:rPr>
        <w:t>ando os requerimentos feitos pela empresa, conclui</w:t>
      </w:r>
      <w:r>
        <w:rPr>
          <w:rFonts w:ascii="Arial" w:hAnsi="Arial" w:cs="Arial"/>
          <w:sz w:val="20"/>
          <w:szCs w:val="20"/>
        </w:rPr>
        <w:t>-se</w:t>
      </w:r>
      <w:r w:rsidR="004F6291">
        <w:rPr>
          <w:rFonts w:ascii="Arial" w:hAnsi="Arial" w:cs="Arial"/>
          <w:sz w:val="20"/>
          <w:szCs w:val="20"/>
        </w:rPr>
        <w:t>,</w:t>
      </w:r>
      <w:r>
        <w:rPr>
          <w:rFonts w:ascii="Arial" w:hAnsi="Arial" w:cs="Arial"/>
          <w:sz w:val="20"/>
          <w:szCs w:val="20"/>
        </w:rPr>
        <w:t xml:space="preserve"> não existe </w:t>
      </w:r>
      <w:r w:rsidR="00637CD5">
        <w:rPr>
          <w:rFonts w:ascii="Arial" w:hAnsi="Arial" w:cs="Arial"/>
          <w:sz w:val="20"/>
          <w:szCs w:val="20"/>
        </w:rPr>
        <w:t xml:space="preserve">um </w:t>
      </w:r>
      <w:r>
        <w:rPr>
          <w:rFonts w:ascii="Arial" w:hAnsi="Arial" w:cs="Arial"/>
          <w:sz w:val="20"/>
          <w:szCs w:val="20"/>
        </w:rPr>
        <w:t xml:space="preserve">fato </w:t>
      </w:r>
      <w:r w:rsidR="00637CD5">
        <w:rPr>
          <w:rFonts w:ascii="Arial" w:hAnsi="Arial" w:cs="Arial"/>
          <w:sz w:val="20"/>
          <w:szCs w:val="20"/>
        </w:rPr>
        <w:t>no pedido</w:t>
      </w:r>
      <w:r w:rsidR="004F6291">
        <w:rPr>
          <w:rFonts w:ascii="Arial" w:hAnsi="Arial" w:cs="Arial"/>
          <w:sz w:val="20"/>
          <w:szCs w:val="20"/>
        </w:rPr>
        <w:t xml:space="preserve"> </w:t>
      </w:r>
      <w:r>
        <w:rPr>
          <w:rFonts w:ascii="Arial" w:hAnsi="Arial" w:cs="Arial"/>
          <w:sz w:val="20"/>
          <w:szCs w:val="20"/>
        </w:rPr>
        <w:t>que remeta à concessão de efeito sus</w:t>
      </w:r>
      <w:r w:rsidR="004F6291">
        <w:rPr>
          <w:rFonts w:ascii="Arial" w:hAnsi="Arial" w:cs="Arial"/>
          <w:sz w:val="20"/>
          <w:szCs w:val="20"/>
        </w:rPr>
        <w:t xml:space="preserve">pensivo, já que essa medida é de trato </w:t>
      </w:r>
      <w:r w:rsidR="004F6291" w:rsidRPr="004F6291">
        <w:rPr>
          <w:rFonts w:ascii="Arial" w:hAnsi="Arial" w:cs="Arial"/>
          <w:sz w:val="20"/>
          <w:szCs w:val="20"/>
          <w:u w:val="single"/>
        </w:rPr>
        <w:t>excepcional</w:t>
      </w:r>
      <w:r w:rsidR="004F6291">
        <w:rPr>
          <w:rFonts w:ascii="Arial" w:hAnsi="Arial" w:cs="Arial"/>
          <w:sz w:val="20"/>
          <w:szCs w:val="20"/>
        </w:rPr>
        <w:t>.</w:t>
      </w:r>
    </w:p>
    <w:p w:rsidR="00637CD5" w:rsidRDefault="00637CD5" w:rsidP="00574A3D">
      <w:pPr>
        <w:pStyle w:val="Corpodetexto"/>
        <w:spacing w:before="123"/>
        <w:ind w:left="851" w:right="798"/>
        <w:jc w:val="both"/>
        <w:rPr>
          <w:rFonts w:ascii="Arial" w:hAnsi="Arial" w:cs="Arial"/>
          <w:sz w:val="20"/>
          <w:szCs w:val="20"/>
        </w:rPr>
      </w:pPr>
      <w:r w:rsidRPr="00637CD5">
        <w:rPr>
          <w:rFonts w:ascii="Arial" w:hAnsi="Arial" w:cs="Arial"/>
          <w:b/>
          <w:sz w:val="20"/>
          <w:szCs w:val="20"/>
        </w:rPr>
        <w:t>Resposta 3</w:t>
      </w:r>
      <w:r>
        <w:rPr>
          <w:rFonts w:ascii="Arial" w:hAnsi="Arial" w:cs="Arial"/>
          <w:sz w:val="20"/>
          <w:szCs w:val="20"/>
        </w:rPr>
        <w:t xml:space="preserve">: </w:t>
      </w:r>
      <w:r w:rsidRPr="00080D66">
        <w:rPr>
          <w:rFonts w:ascii="Arial" w:hAnsi="Arial" w:cs="Arial"/>
          <w:b/>
          <w:sz w:val="20"/>
          <w:szCs w:val="20"/>
        </w:rPr>
        <w:t>N</w:t>
      </w:r>
      <w:r w:rsidR="004F6291" w:rsidRPr="00080D66">
        <w:rPr>
          <w:rFonts w:ascii="Arial" w:hAnsi="Arial" w:cs="Arial"/>
          <w:b/>
          <w:sz w:val="20"/>
          <w:szCs w:val="20"/>
        </w:rPr>
        <w:t xml:space="preserve">o item </w:t>
      </w:r>
      <w:r w:rsidR="008C3351" w:rsidRPr="00080D66">
        <w:rPr>
          <w:rFonts w:ascii="Arial" w:hAnsi="Arial" w:cs="Arial"/>
          <w:b/>
          <w:sz w:val="20"/>
          <w:szCs w:val="20"/>
        </w:rPr>
        <w:t>4 – Da Decisão do Pregoeiro</w:t>
      </w:r>
      <w:r w:rsidR="008C3351">
        <w:rPr>
          <w:rFonts w:ascii="Arial" w:hAnsi="Arial" w:cs="Arial"/>
          <w:sz w:val="20"/>
          <w:szCs w:val="20"/>
        </w:rPr>
        <w:t>,</w:t>
      </w:r>
      <w:r>
        <w:rPr>
          <w:rFonts w:ascii="Arial" w:hAnsi="Arial" w:cs="Arial"/>
          <w:sz w:val="20"/>
          <w:szCs w:val="20"/>
        </w:rPr>
        <w:t xml:space="preserve"> </w:t>
      </w:r>
      <w:r w:rsidR="00166BE5">
        <w:rPr>
          <w:rFonts w:ascii="Arial" w:hAnsi="Arial" w:cs="Arial"/>
          <w:sz w:val="20"/>
          <w:szCs w:val="20"/>
        </w:rPr>
        <w:t xml:space="preserve">no final </w:t>
      </w:r>
      <w:r>
        <w:rPr>
          <w:rFonts w:ascii="Arial" w:hAnsi="Arial" w:cs="Arial"/>
          <w:sz w:val="20"/>
          <w:szCs w:val="20"/>
        </w:rPr>
        <w:t>de</w:t>
      </w:r>
      <w:r w:rsidR="00080D66">
        <w:rPr>
          <w:rFonts w:ascii="Arial" w:hAnsi="Arial" w:cs="Arial"/>
          <w:sz w:val="20"/>
          <w:szCs w:val="20"/>
        </w:rPr>
        <w:t>sse documento estará observada a</w:t>
      </w:r>
      <w:r>
        <w:rPr>
          <w:rFonts w:ascii="Arial" w:hAnsi="Arial" w:cs="Arial"/>
          <w:sz w:val="20"/>
          <w:szCs w:val="20"/>
        </w:rPr>
        <w:t xml:space="preserve"> resposta a essa questão referente ao </w:t>
      </w:r>
      <w:r w:rsidRPr="008C3351">
        <w:rPr>
          <w:rFonts w:ascii="Arial" w:hAnsi="Arial" w:cs="Arial"/>
          <w:sz w:val="20"/>
          <w:szCs w:val="20"/>
        </w:rPr>
        <w:t>mérito</w:t>
      </w:r>
      <w:r>
        <w:rPr>
          <w:rFonts w:ascii="Arial" w:hAnsi="Arial" w:cs="Arial"/>
          <w:sz w:val="20"/>
          <w:szCs w:val="20"/>
        </w:rPr>
        <w:t>.</w:t>
      </w:r>
    </w:p>
    <w:p w:rsidR="00637CD5" w:rsidRDefault="00637CD5" w:rsidP="00574A3D">
      <w:pPr>
        <w:pStyle w:val="Corpodetexto"/>
        <w:spacing w:before="123"/>
        <w:ind w:left="851" w:right="798"/>
        <w:jc w:val="both"/>
        <w:rPr>
          <w:rFonts w:ascii="Arial" w:hAnsi="Arial" w:cs="Arial"/>
          <w:sz w:val="20"/>
          <w:szCs w:val="20"/>
        </w:rPr>
      </w:pPr>
      <w:r>
        <w:rPr>
          <w:rFonts w:ascii="Arial" w:hAnsi="Arial" w:cs="Arial"/>
          <w:b/>
          <w:sz w:val="20"/>
          <w:szCs w:val="20"/>
        </w:rPr>
        <w:t>Resposta 4</w:t>
      </w:r>
      <w:r w:rsidRPr="00637CD5">
        <w:rPr>
          <w:rFonts w:ascii="Arial" w:hAnsi="Arial" w:cs="Arial"/>
          <w:sz w:val="20"/>
          <w:szCs w:val="20"/>
        </w:rPr>
        <w:t>:</w:t>
      </w:r>
      <w:r>
        <w:rPr>
          <w:rFonts w:ascii="Arial" w:hAnsi="Arial" w:cs="Arial"/>
          <w:sz w:val="20"/>
          <w:szCs w:val="20"/>
        </w:rPr>
        <w:t xml:space="preserve">  </w:t>
      </w:r>
      <w:r w:rsidR="004F6291">
        <w:rPr>
          <w:rFonts w:ascii="Arial" w:hAnsi="Arial" w:cs="Arial"/>
          <w:sz w:val="20"/>
          <w:szCs w:val="20"/>
        </w:rPr>
        <w:t>A Administraçao Pública</w:t>
      </w:r>
      <w:r w:rsidR="00F040C8">
        <w:rPr>
          <w:rFonts w:ascii="Arial" w:hAnsi="Arial" w:cs="Arial"/>
          <w:sz w:val="20"/>
          <w:szCs w:val="20"/>
        </w:rPr>
        <w:t xml:space="preserve"> deve-se ater aos comandos Constitucionais, as Leis,  e as Normas Infralegais, que regem por exemplo, o processo licitatório. Na lei n.º 8.666/1993, n</w:t>
      </w:r>
      <w:r w:rsidR="00F040C8" w:rsidRPr="00F040C8">
        <w:rPr>
          <w:rFonts w:ascii="Arial" w:hAnsi="Arial" w:cs="Arial"/>
          <w:sz w:val="20"/>
          <w:szCs w:val="20"/>
        </w:rPr>
        <w:t xml:space="preserve">o </w:t>
      </w:r>
      <w:r w:rsidR="00F040C8">
        <w:rPr>
          <w:rFonts w:ascii="Arial" w:hAnsi="Arial" w:cs="Arial"/>
          <w:sz w:val="20"/>
          <w:szCs w:val="20"/>
        </w:rPr>
        <w:t xml:space="preserve">seu </w:t>
      </w:r>
      <w:r w:rsidR="00F040C8" w:rsidRPr="00F040C8">
        <w:rPr>
          <w:rFonts w:ascii="Arial" w:hAnsi="Arial" w:cs="Arial"/>
          <w:sz w:val="20"/>
          <w:szCs w:val="20"/>
        </w:rPr>
        <w:t>art. </w:t>
      </w:r>
      <w:hyperlink r:id="rId11" w:tooltip="Artigo 27 da Lei nº 8.666 de 21 de Junho de 1993" w:history="1">
        <w:r w:rsidR="00F040C8" w:rsidRPr="00F040C8">
          <w:rPr>
            <w:rFonts w:ascii="Arial" w:hAnsi="Arial" w:cs="Arial"/>
            <w:sz w:val="20"/>
            <w:szCs w:val="20"/>
          </w:rPr>
          <w:t>27</w:t>
        </w:r>
      </w:hyperlink>
      <w:r w:rsidR="00F040C8">
        <w:rPr>
          <w:rFonts w:ascii="Arial" w:hAnsi="Arial" w:cs="Arial"/>
          <w:sz w:val="20"/>
          <w:szCs w:val="20"/>
        </w:rPr>
        <w:t xml:space="preserve"> estão elencadas </w:t>
      </w:r>
      <w:r w:rsidR="00F040C8" w:rsidRPr="00F040C8">
        <w:rPr>
          <w:rFonts w:ascii="Arial" w:hAnsi="Arial" w:cs="Arial"/>
          <w:sz w:val="20"/>
          <w:szCs w:val="20"/>
        </w:rPr>
        <w:t xml:space="preserve">as </w:t>
      </w:r>
      <w:r w:rsidR="006875E7">
        <w:rPr>
          <w:rFonts w:ascii="Arial" w:hAnsi="Arial" w:cs="Arial"/>
          <w:sz w:val="20"/>
          <w:szCs w:val="20"/>
        </w:rPr>
        <w:t>áreas com a documentação relativa a análise d</w:t>
      </w:r>
      <w:r w:rsidR="00F040C8" w:rsidRPr="00F040C8">
        <w:rPr>
          <w:rFonts w:ascii="Arial" w:hAnsi="Arial" w:cs="Arial"/>
          <w:sz w:val="20"/>
          <w:szCs w:val="20"/>
        </w:rPr>
        <w:t xml:space="preserve">a habilitação dos licitantes: jurídica, </w:t>
      </w:r>
      <w:r w:rsidR="006875E7">
        <w:rPr>
          <w:rFonts w:ascii="Arial" w:hAnsi="Arial" w:cs="Arial"/>
          <w:sz w:val="20"/>
          <w:szCs w:val="20"/>
        </w:rPr>
        <w:t xml:space="preserve">qualificação técnica, </w:t>
      </w:r>
      <w:r w:rsidR="00F040C8" w:rsidRPr="00F040C8">
        <w:rPr>
          <w:rFonts w:ascii="Arial" w:hAnsi="Arial" w:cs="Arial"/>
          <w:sz w:val="20"/>
          <w:szCs w:val="20"/>
        </w:rPr>
        <w:t xml:space="preserve">qualificação econômico-financeira, </w:t>
      </w:r>
      <w:r w:rsidR="00F040C8">
        <w:rPr>
          <w:rFonts w:ascii="Arial" w:hAnsi="Arial" w:cs="Arial"/>
          <w:sz w:val="20"/>
          <w:szCs w:val="20"/>
        </w:rPr>
        <w:t xml:space="preserve"> </w:t>
      </w:r>
      <w:r w:rsidR="00F040C8" w:rsidRPr="00F040C8">
        <w:rPr>
          <w:rFonts w:ascii="Arial" w:hAnsi="Arial" w:cs="Arial"/>
          <w:sz w:val="20"/>
          <w:szCs w:val="20"/>
        </w:rPr>
        <w:t>regularidade fiscal e</w:t>
      </w:r>
      <w:r w:rsidR="00F040C8">
        <w:rPr>
          <w:rFonts w:ascii="Arial" w:hAnsi="Arial" w:cs="Arial"/>
          <w:sz w:val="20"/>
          <w:szCs w:val="20"/>
        </w:rPr>
        <w:t xml:space="preserve"> o </w:t>
      </w:r>
      <w:r w:rsidR="00F040C8" w:rsidRPr="00F040C8">
        <w:rPr>
          <w:rFonts w:ascii="Arial" w:hAnsi="Arial" w:cs="Arial"/>
          <w:sz w:val="20"/>
          <w:szCs w:val="20"/>
        </w:rPr>
        <w:t>cumprimento do disposto.</w:t>
      </w:r>
    </w:p>
    <w:p w:rsidR="005F4B34" w:rsidRDefault="005F4B34" w:rsidP="00574A3D">
      <w:pPr>
        <w:pStyle w:val="Corpodetexto"/>
        <w:spacing w:before="123"/>
        <w:ind w:left="851" w:right="798"/>
        <w:jc w:val="both"/>
        <w:rPr>
          <w:rFonts w:ascii="Arial" w:hAnsi="Arial" w:cs="Arial"/>
          <w:i/>
          <w:sz w:val="18"/>
          <w:szCs w:val="18"/>
        </w:rPr>
      </w:pPr>
      <w:r w:rsidRPr="005F4B34">
        <w:rPr>
          <w:rFonts w:ascii="Arial" w:hAnsi="Arial" w:cs="Arial"/>
          <w:sz w:val="20"/>
          <w:szCs w:val="20"/>
        </w:rPr>
        <w:t>No art. 3.º</w:t>
      </w:r>
      <w:r w:rsidR="0061384E">
        <w:rPr>
          <w:rFonts w:ascii="Arial" w:hAnsi="Arial" w:cs="Arial"/>
          <w:sz w:val="20"/>
          <w:szCs w:val="20"/>
        </w:rPr>
        <w:t xml:space="preserve"> C</w:t>
      </w:r>
      <w:r w:rsidRPr="005F4B34">
        <w:rPr>
          <w:rFonts w:ascii="Arial" w:hAnsi="Arial" w:cs="Arial"/>
          <w:sz w:val="20"/>
          <w:szCs w:val="20"/>
        </w:rPr>
        <w:t>aput e §1.º</w:t>
      </w:r>
      <w:r w:rsidR="0061384E">
        <w:rPr>
          <w:rFonts w:ascii="Arial" w:hAnsi="Arial" w:cs="Arial"/>
          <w:sz w:val="20"/>
          <w:szCs w:val="20"/>
        </w:rPr>
        <w:t>, inciso I</w:t>
      </w:r>
      <w:r w:rsidRPr="005F4B34">
        <w:rPr>
          <w:rFonts w:ascii="Arial" w:hAnsi="Arial" w:cs="Arial"/>
          <w:sz w:val="20"/>
          <w:szCs w:val="20"/>
        </w:rPr>
        <w:t xml:space="preserve"> </w:t>
      </w:r>
      <w:r w:rsidR="0061384E">
        <w:rPr>
          <w:rFonts w:ascii="Arial" w:hAnsi="Arial" w:cs="Arial"/>
          <w:sz w:val="20"/>
          <w:szCs w:val="20"/>
        </w:rPr>
        <w:t xml:space="preserve">da Lei n.º 8.666/1993 exprimem muito bem a que a licitação se destina e os limites que a Lei traz ao agente público no tocante a sua atuação, reproduzo respectivamente: </w:t>
      </w:r>
      <w:r w:rsidR="0061384E" w:rsidRPr="0061384E">
        <w:rPr>
          <w:rFonts w:ascii="Arial" w:hAnsi="Arial" w:cs="Arial"/>
          <w:i/>
          <w:sz w:val="18"/>
          <w:szCs w:val="18"/>
        </w:rPr>
        <w:t xml:space="preserve">“ A licitação destina-se a garantir a observância do princípio constitucional </w:t>
      </w:r>
      <w:r w:rsidR="0061384E" w:rsidRPr="0061384E">
        <w:rPr>
          <w:rFonts w:ascii="Arial" w:hAnsi="Arial" w:cs="Arial"/>
          <w:b/>
          <w:i/>
          <w:sz w:val="18"/>
          <w:szCs w:val="18"/>
        </w:rPr>
        <w:t>da isonomia</w:t>
      </w:r>
      <w:r w:rsidR="0061384E" w:rsidRPr="0061384E">
        <w:rPr>
          <w:rFonts w:ascii="Arial" w:hAnsi="Arial" w:cs="Arial"/>
          <w:i/>
          <w:sz w:val="18"/>
          <w:szCs w:val="18"/>
        </w:rPr>
        <w:t xml:space="preserve">, a </w:t>
      </w:r>
      <w:r w:rsidR="0061384E" w:rsidRPr="0061384E">
        <w:rPr>
          <w:rFonts w:ascii="Arial" w:hAnsi="Arial" w:cs="Arial"/>
          <w:b/>
          <w:i/>
          <w:sz w:val="18"/>
          <w:szCs w:val="18"/>
        </w:rPr>
        <w:t>seleção da proposta mais vantajosa para a administração</w:t>
      </w:r>
      <w:r w:rsidR="0061384E" w:rsidRPr="0061384E">
        <w:rPr>
          <w:rFonts w:ascii="Arial" w:hAnsi="Arial" w:cs="Arial"/>
          <w:i/>
          <w:sz w:val="18"/>
          <w:szCs w:val="18"/>
        </w:rPr>
        <w:t xml:space="preserve"> e a promoção do desenvolvimento nacional sustentável e será processada e julgada em estrita conformidade com os princípios básicos da legalidade, da impessoalidade, da moralidade, </w:t>
      </w:r>
      <w:r w:rsidR="0061384E" w:rsidRPr="0061384E">
        <w:rPr>
          <w:rFonts w:ascii="Arial" w:hAnsi="Arial" w:cs="Arial"/>
          <w:b/>
          <w:i/>
          <w:sz w:val="18"/>
          <w:szCs w:val="18"/>
        </w:rPr>
        <w:t>da igualdade</w:t>
      </w:r>
      <w:r w:rsidR="0061384E" w:rsidRPr="0061384E">
        <w:rPr>
          <w:rFonts w:ascii="Arial" w:hAnsi="Arial" w:cs="Arial"/>
          <w:i/>
          <w:sz w:val="18"/>
          <w:szCs w:val="18"/>
        </w:rPr>
        <w:t>, da publicidade, da probidade administrativa, da vinculação ao instrumento convocatório, do julgamento objetivo e dos que lhes são correlatos.</w:t>
      </w:r>
      <w:hyperlink r:id="rId12" w:anchor="art1" w:history="1">
        <w:r w:rsidR="0061384E" w:rsidRPr="0061384E">
          <w:rPr>
            <w:rFonts w:ascii="Arial" w:hAnsi="Arial" w:cs="Arial"/>
            <w:i/>
            <w:sz w:val="18"/>
            <w:szCs w:val="18"/>
          </w:rPr>
          <w:t>(Redação dada pela Lei nº 12.349, de 2010)</w:t>
        </w:r>
      </w:hyperlink>
      <w:r w:rsidR="0061384E">
        <w:rPr>
          <w:rFonts w:ascii="Arial" w:hAnsi="Arial" w:cs="Arial"/>
          <w:i/>
          <w:sz w:val="18"/>
          <w:szCs w:val="18"/>
        </w:rPr>
        <w:t>”(grifo nosso).</w:t>
      </w:r>
    </w:p>
    <w:p w:rsidR="0061384E" w:rsidRDefault="0061384E" w:rsidP="00574A3D">
      <w:pPr>
        <w:pStyle w:val="Corpodetexto"/>
        <w:spacing w:before="123"/>
        <w:ind w:left="851" w:right="798"/>
        <w:jc w:val="both"/>
        <w:rPr>
          <w:rFonts w:ascii="Arial" w:hAnsi="Arial" w:cs="Arial"/>
          <w:i/>
          <w:sz w:val="18"/>
          <w:szCs w:val="18"/>
        </w:rPr>
      </w:pPr>
    </w:p>
    <w:p w:rsidR="0061384E" w:rsidRDefault="0061384E" w:rsidP="00574A3D">
      <w:pPr>
        <w:pStyle w:val="Corpodetexto"/>
        <w:spacing w:before="123"/>
        <w:ind w:left="851" w:right="798"/>
        <w:jc w:val="both"/>
        <w:rPr>
          <w:rFonts w:ascii="Arial" w:hAnsi="Arial" w:cs="Arial"/>
          <w:i/>
          <w:sz w:val="18"/>
          <w:szCs w:val="18"/>
        </w:rPr>
      </w:pPr>
    </w:p>
    <w:p w:rsidR="0061384E" w:rsidRDefault="0061384E" w:rsidP="00574A3D">
      <w:pPr>
        <w:pStyle w:val="Corpodetexto"/>
        <w:spacing w:before="123"/>
        <w:ind w:left="851" w:right="798"/>
        <w:jc w:val="both"/>
        <w:rPr>
          <w:rFonts w:ascii="Arial" w:hAnsi="Arial" w:cs="Arial"/>
          <w:i/>
          <w:sz w:val="18"/>
          <w:szCs w:val="18"/>
        </w:rPr>
      </w:pPr>
    </w:p>
    <w:p w:rsidR="0061384E" w:rsidRDefault="0061384E" w:rsidP="00574A3D">
      <w:pPr>
        <w:pStyle w:val="Corpodetexto"/>
        <w:spacing w:before="123"/>
        <w:ind w:left="851" w:right="798"/>
        <w:jc w:val="both"/>
        <w:rPr>
          <w:rFonts w:ascii="Arial" w:hAnsi="Arial" w:cs="Arial"/>
          <w:i/>
          <w:sz w:val="18"/>
          <w:szCs w:val="18"/>
        </w:rPr>
      </w:pPr>
    </w:p>
    <w:p w:rsidR="0061384E" w:rsidRPr="0061384E" w:rsidRDefault="0061384E" w:rsidP="0061384E">
      <w:pPr>
        <w:pStyle w:val="NormalWeb"/>
        <w:ind w:left="851" w:right="798"/>
        <w:jc w:val="both"/>
        <w:rPr>
          <w:rFonts w:ascii="Arial" w:eastAsia="Arial MT" w:hAnsi="Arial" w:cs="Arial"/>
          <w:i/>
          <w:sz w:val="18"/>
          <w:szCs w:val="18"/>
          <w:lang w:val="pt-PT" w:eastAsia="en-US"/>
        </w:rPr>
      </w:pPr>
      <w:r w:rsidRPr="0061384E">
        <w:rPr>
          <w:rFonts w:ascii="Arial" w:eastAsia="Arial MT" w:hAnsi="Arial" w:cs="Arial"/>
          <w:i/>
          <w:sz w:val="18"/>
          <w:szCs w:val="18"/>
          <w:lang w:val="pt-PT" w:eastAsia="en-US"/>
        </w:rPr>
        <w:lastRenderedPageBreak/>
        <w:t>“§ 1o  </w:t>
      </w:r>
      <w:r w:rsidRPr="0061384E">
        <w:rPr>
          <w:rFonts w:ascii="Arial" w:eastAsia="Arial MT" w:hAnsi="Arial" w:cs="Arial"/>
          <w:b/>
          <w:i/>
          <w:sz w:val="18"/>
          <w:szCs w:val="18"/>
          <w:lang w:val="pt-PT" w:eastAsia="en-US"/>
        </w:rPr>
        <w:t>É vedado aos agentes públicos</w:t>
      </w:r>
      <w:r w:rsidRPr="0061384E">
        <w:rPr>
          <w:rFonts w:ascii="Arial" w:eastAsia="Arial MT" w:hAnsi="Arial" w:cs="Arial"/>
          <w:i/>
          <w:sz w:val="18"/>
          <w:szCs w:val="18"/>
          <w:lang w:val="pt-PT" w:eastAsia="en-US"/>
        </w:rPr>
        <w:t xml:space="preserve">: </w:t>
      </w:r>
      <w:r w:rsidRPr="0061384E">
        <w:rPr>
          <w:rFonts w:ascii="Arial" w:eastAsia="Arial MT" w:hAnsi="Arial" w:cs="Arial"/>
          <w:b/>
          <w:i/>
          <w:sz w:val="18"/>
          <w:szCs w:val="18"/>
          <w:lang w:val="pt-PT" w:eastAsia="en-US"/>
        </w:rPr>
        <w:t>I - admitir, prever, incluir ou tolerar, nos atos de convocação, cláusulas ou condições que comprometam, restrinjam ou frustrem o seu caráter competitivo</w:t>
      </w:r>
      <w:r w:rsidRPr="0061384E">
        <w:rPr>
          <w:rFonts w:ascii="Arial" w:eastAsia="Arial MT" w:hAnsi="Arial" w:cs="Arial"/>
          <w:i/>
          <w:sz w:val="18"/>
          <w:szCs w:val="18"/>
          <w:lang w:val="pt-PT" w:eastAsia="en-US"/>
        </w:rPr>
        <w:t>, inclusive nos casos de sociedades cooperativas, e estabeleçam preferências ou distinções em razão da naturalidade, da sede ou domicílio dos licitantes ou de qualquer outra circunstância impertinente ou irrelevante para o específico objeto do contrato, ressalvado o disposto nos §§ 5o a 12 deste artigo e no art. 3o da Lei no 8.248, de 23 de outubro de 1991; </w:t>
      </w:r>
      <w:hyperlink r:id="rId13" w:anchor="art1" w:history="1">
        <w:r w:rsidRPr="0061384E">
          <w:rPr>
            <w:rFonts w:ascii="Arial" w:eastAsia="Arial MT" w:hAnsi="Arial" w:cs="Arial"/>
            <w:i/>
            <w:sz w:val="18"/>
            <w:szCs w:val="18"/>
            <w:lang w:val="pt-PT" w:eastAsia="en-US"/>
          </w:rPr>
          <w:t>(Redação dada pela Lei nº 12.349, de 2010)</w:t>
        </w:r>
      </w:hyperlink>
      <w:r>
        <w:rPr>
          <w:rFonts w:ascii="Arial" w:eastAsia="Arial MT" w:hAnsi="Arial" w:cs="Arial"/>
          <w:i/>
          <w:sz w:val="18"/>
          <w:szCs w:val="18"/>
          <w:lang w:val="pt-PT" w:eastAsia="en-US"/>
        </w:rPr>
        <w:t>”(grifo nosso).</w:t>
      </w:r>
    </w:p>
    <w:p w:rsidR="006875E7" w:rsidRDefault="006875E7" w:rsidP="0061384E">
      <w:pPr>
        <w:pStyle w:val="Corpodetexto"/>
        <w:spacing w:before="123"/>
        <w:ind w:left="851" w:right="798"/>
        <w:jc w:val="both"/>
        <w:rPr>
          <w:rFonts w:ascii="Arial" w:hAnsi="Arial" w:cs="Arial"/>
          <w:sz w:val="20"/>
          <w:szCs w:val="20"/>
        </w:rPr>
      </w:pPr>
      <w:r w:rsidRPr="006875E7">
        <w:rPr>
          <w:rFonts w:ascii="Arial" w:hAnsi="Arial" w:cs="Arial"/>
          <w:sz w:val="20"/>
          <w:szCs w:val="20"/>
        </w:rPr>
        <w:t xml:space="preserve">Exigências </w:t>
      </w:r>
      <w:r>
        <w:rPr>
          <w:rFonts w:ascii="Arial" w:hAnsi="Arial" w:cs="Arial"/>
          <w:sz w:val="20"/>
          <w:szCs w:val="20"/>
        </w:rPr>
        <w:t>habilitatórias além do permit</w:t>
      </w:r>
      <w:r w:rsidR="00AD24BB">
        <w:rPr>
          <w:rFonts w:ascii="Arial" w:hAnsi="Arial" w:cs="Arial"/>
          <w:sz w:val="20"/>
          <w:szCs w:val="20"/>
        </w:rPr>
        <w:t xml:space="preserve">ido usurpam o princípio da razoabilidade, cláusulas desnecessárias </w:t>
      </w:r>
      <w:r w:rsidR="00166BE5">
        <w:rPr>
          <w:rFonts w:ascii="Arial" w:hAnsi="Arial" w:cs="Arial"/>
          <w:sz w:val="20"/>
          <w:szCs w:val="20"/>
        </w:rPr>
        <w:t xml:space="preserve">frustram </w:t>
      </w:r>
      <w:r w:rsidR="00AD24BB">
        <w:rPr>
          <w:rFonts w:ascii="Arial" w:hAnsi="Arial" w:cs="Arial"/>
          <w:sz w:val="20"/>
          <w:szCs w:val="20"/>
        </w:rPr>
        <w:t>o caráter competitivo do certame</w:t>
      </w:r>
      <w:r w:rsidR="00166BE5">
        <w:rPr>
          <w:rFonts w:ascii="Arial" w:hAnsi="Arial" w:cs="Arial"/>
          <w:sz w:val="20"/>
          <w:szCs w:val="20"/>
        </w:rPr>
        <w:t xml:space="preserve">, essas situações </w:t>
      </w:r>
      <w:r w:rsidR="00AD24BB">
        <w:rPr>
          <w:rFonts w:ascii="Arial" w:hAnsi="Arial" w:cs="Arial"/>
          <w:sz w:val="20"/>
          <w:szCs w:val="20"/>
        </w:rPr>
        <w:t>vão de encontro aos</w:t>
      </w:r>
      <w:r w:rsidR="0061384E">
        <w:rPr>
          <w:rFonts w:ascii="Arial" w:hAnsi="Arial" w:cs="Arial"/>
          <w:sz w:val="20"/>
          <w:szCs w:val="20"/>
        </w:rPr>
        <w:t xml:space="preserve"> </w:t>
      </w:r>
      <w:r w:rsidR="00AD24BB">
        <w:rPr>
          <w:rFonts w:ascii="Arial" w:hAnsi="Arial" w:cs="Arial"/>
          <w:sz w:val="20"/>
          <w:szCs w:val="20"/>
        </w:rPr>
        <w:t xml:space="preserve">princípios constitucionais e consequentemente quebram um dos principais e fundamentais dos princípios, </w:t>
      </w:r>
      <w:r w:rsidR="00AD24BB" w:rsidRPr="00166BE5">
        <w:rPr>
          <w:rFonts w:ascii="Arial" w:hAnsi="Arial" w:cs="Arial"/>
          <w:sz w:val="20"/>
          <w:szCs w:val="20"/>
          <w:u w:val="single"/>
        </w:rPr>
        <w:t>o da isonomia</w:t>
      </w:r>
      <w:r w:rsidR="00AD24BB">
        <w:rPr>
          <w:rFonts w:ascii="Arial" w:hAnsi="Arial" w:cs="Arial"/>
          <w:sz w:val="20"/>
          <w:szCs w:val="20"/>
        </w:rPr>
        <w:t xml:space="preserve">.  A própria Corte de Contas já se manifestou </w:t>
      </w:r>
      <w:r w:rsidR="005060AD">
        <w:rPr>
          <w:rFonts w:ascii="Arial" w:hAnsi="Arial" w:cs="Arial"/>
          <w:sz w:val="20"/>
          <w:szCs w:val="20"/>
        </w:rPr>
        <w:t xml:space="preserve">em diversos Acórdãos </w:t>
      </w:r>
      <w:r w:rsidR="00AD24BB">
        <w:rPr>
          <w:rFonts w:ascii="Arial" w:hAnsi="Arial" w:cs="Arial"/>
          <w:sz w:val="20"/>
          <w:szCs w:val="20"/>
        </w:rPr>
        <w:t>sobre isso</w:t>
      </w:r>
      <w:r w:rsidR="005060AD">
        <w:rPr>
          <w:rFonts w:ascii="Arial" w:hAnsi="Arial" w:cs="Arial"/>
          <w:sz w:val="20"/>
          <w:szCs w:val="20"/>
        </w:rPr>
        <w:t xml:space="preserve">, como por exemplo, </w:t>
      </w:r>
      <w:r w:rsidR="00AD24BB">
        <w:rPr>
          <w:rFonts w:ascii="Arial" w:hAnsi="Arial" w:cs="Arial"/>
          <w:sz w:val="20"/>
          <w:szCs w:val="20"/>
        </w:rPr>
        <w:t xml:space="preserve">o </w:t>
      </w:r>
      <w:r w:rsidR="005060AD" w:rsidRPr="005060AD">
        <w:rPr>
          <w:rFonts w:ascii="Arial" w:hAnsi="Arial" w:cs="Arial"/>
          <w:sz w:val="20"/>
          <w:szCs w:val="20"/>
        </w:rPr>
        <w:t xml:space="preserve">Acórdão </w:t>
      </w:r>
      <w:r w:rsidR="005060AD">
        <w:rPr>
          <w:rFonts w:ascii="Arial" w:hAnsi="Arial" w:cs="Arial"/>
          <w:sz w:val="20"/>
          <w:szCs w:val="20"/>
        </w:rPr>
        <w:t xml:space="preserve">n.º </w:t>
      </w:r>
      <w:r w:rsidR="005060AD" w:rsidRPr="005060AD">
        <w:rPr>
          <w:rFonts w:ascii="Arial" w:hAnsi="Arial" w:cs="Arial"/>
          <w:sz w:val="20"/>
          <w:szCs w:val="20"/>
        </w:rPr>
        <w:t>1973/2020</w:t>
      </w:r>
      <w:r w:rsidR="005060AD">
        <w:rPr>
          <w:rFonts w:ascii="Arial" w:hAnsi="Arial" w:cs="Arial"/>
          <w:sz w:val="20"/>
          <w:szCs w:val="20"/>
        </w:rPr>
        <w:t xml:space="preserve"> – </w:t>
      </w:r>
      <w:r w:rsidR="005060AD" w:rsidRPr="005060AD">
        <w:rPr>
          <w:rFonts w:ascii="Arial" w:hAnsi="Arial" w:cs="Arial"/>
          <w:sz w:val="20"/>
          <w:szCs w:val="20"/>
        </w:rPr>
        <w:t>Plenário</w:t>
      </w:r>
      <w:r w:rsidR="005060AD">
        <w:rPr>
          <w:rFonts w:ascii="Arial" w:hAnsi="Arial" w:cs="Arial"/>
          <w:sz w:val="20"/>
          <w:szCs w:val="20"/>
        </w:rPr>
        <w:t>.</w:t>
      </w:r>
      <w:r w:rsidR="00AD24BB">
        <w:rPr>
          <w:rFonts w:ascii="Arial" w:hAnsi="Arial" w:cs="Arial"/>
          <w:sz w:val="20"/>
          <w:szCs w:val="20"/>
        </w:rPr>
        <w:t xml:space="preserve"> </w:t>
      </w:r>
    </w:p>
    <w:p w:rsidR="001D5692" w:rsidRDefault="001D5692" w:rsidP="00574A3D">
      <w:pPr>
        <w:pStyle w:val="Corpodetexto"/>
        <w:spacing w:before="123"/>
        <w:ind w:left="851" w:right="798"/>
        <w:jc w:val="both"/>
        <w:rPr>
          <w:rFonts w:ascii="Arial" w:hAnsi="Arial" w:cs="Arial"/>
          <w:sz w:val="20"/>
          <w:szCs w:val="20"/>
        </w:rPr>
      </w:pPr>
      <w:r>
        <w:rPr>
          <w:rFonts w:ascii="Arial" w:hAnsi="Arial" w:cs="Arial"/>
          <w:sz w:val="20"/>
          <w:szCs w:val="20"/>
        </w:rPr>
        <w:t>Sendo assim,  a Administração Pública deve ter a responsabilidade no quesito habilitação, em especial no tocante à exigiência de documentos que possam extrapolar e ferir os princípios norteadores do processo licitatório.</w:t>
      </w:r>
    </w:p>
    <w:p w:rsidR="001D5692" w:rsidRDefault="0061384E" w:rsidP="00574A3D">
      <w:pPr>
        <w:pStyle w:val="Corpodetexto"/>
        <w:spacing w:before="123"/>
        <w:ind w:left="851" w:right="798"/>
        <w:jc w:val="both"/>
        <w:rPr>
          <w:rFonts w:ascii="Arial" w:hAnsi="Arial" w:cs="Arial"/>
          <w:sz w:val="20"/>
          <w:szCs w:val="20"/>
        </w:rPr>
      </w:pPr>
      <w:r>
        <w:rPr>
          <w:rFonts w:ascii="Arial" w:hAnsi="Arial" w:cs="Arial"/>
          <w:sz w:val="20"/>
          <w:szCs w:val="20"/>
        </w:rPr>
        <w:t xml:space="preserve">Isto posto, </w:t>
      </w:r>
      <w:r w:rsidR="00261A8E">
        <w:rPr>
          <w:rFonts w:ascii="Arial" w:hAnsi="Arial" w:cs="Arial"/>
          <w:sz w:val="20"/>
          <w:szCs w:val="20"/>
        </w:rPr>
        <w:t>passemos a analisar o</w:t>
      </w:r>
      <w:r w:rsidR="001D5692">
        <w:rPr>
          <w:rFonts w:ascii="Arial" w:hAnsi="Arial" w:cs="Arial"/>
          <w:sz w:val="20"/>
          <w:szCs w:val="20"/>
        </w:rPr>
        <w:t xml:space="preserve"> item que a empresa impugnante solicita que deveria ser cobrado</w:t>
      </w:r>
      <w:r w:rsidR="00261A8E">
        <w:rPr>
          <w:rFonts w:ascii="Arial" w:hAnsi="Arial" w:cs="Arial"/>
          <w:sz w:val="20"/>
          <w:szCs w:val="20"/>
        </w:rPr>
        <w:t>,</w:t>
      </w:r>
      <w:r w:rsidR="001D5692">
        <w:rPr>
          <w:rFonts w:ascii="Arial" w:hAnsi="Arial" w:cs="Arial"/>
          <w:sz w:val="20"/>
          <w:szCs w:val="20"/>
        </w:rPr>
        <w:t xml:space="preserve"> </w:t>
      </w:r>
      <w:r w:rsidR="001D5692" w:rsidRPr="001D5692">
        <w:rPr>
          <w:rFonts w:ascii="Arial" w:hAnsi="Arial" w:cs="Arial"/>
          <w:bCs/>
          <w:sz w:val="20"/>
          <w:szCs w:val="20"/>
        </w:rPr>
        <w:t xml:space="preserve">o Comprovante de Registro do fabricante do produto no Cadastro Técnico Federal do Ibama, acompanhado do respectivo Certificado de Regularidade </w:t>
      </w:r>
      <w:r w:rsidR="001D5692">
        <w:rPr>
          <w:rFonts w:ascii="Arial" w:hAnsi="Arial" w:cs="Arial"/>
          <w:bCs/>
          <w:sz w:val="20"/>
          <w:szCs w:val="20"/>
        </w:rPr>
        <w:t>válido com chave de Autenticação do licitante classificado provisoriament</w:t>
      </w:r>
      <w:r w:rsidR="00166BE5">
        <w:rPr>
          <w:rFonts w:ascii="Arial" w:hAnsi="Arial" w:cs="Arial"/>
          <w:bCs/>
          <w:sz w:val="20"/>
          <w:szCs w:val="20"/>
        </w:rPr>
        <w:t>e</w:t>
      </w:r>
      <w:r w:rsidR="001D5692">
        <w:rPr>
          <w:rFonts w:ascii="Arial" w:hAnsi="Arial" w:cs="Arial"/>
          <w:bCs/>
          <w:sz w:val="20"/>
          <w:szCs w:val="20"/>
        </w:rPr>
        <w:t xml:space="preserve"> em primeiro lugar e para isso a empresa cita algumas Leis Federais, Instruções Normativas</w:t>
      </w:r>
      <w:r w:rsidR="001D5692">
        <w:rPr>
          <w:rFonts w:ascii="Arial" w:hAnsi="Arial" w:cs="Arial"/>
          <w:sz w:val="20"/>
          <w:szCs w:val="20"/>
        </w:rPr>
        <w:t xml:space="preserve"> do Ibama, além de um Parecer de n.º 13/2014 /CPL/DEPCONSU/PGF/AGU. </w:t>
      </w:r>
    </w:p>
    <w:p w:rsidR="00ED1F7D" w:rsidRDefault="00ED1F7D" w:rsidP="00ED1F7D">
      <w:pPr>
        <w:widowControl/>
        <w:adjustRightInd w:val="0"/>
        <w:ind w:left="851" w:right="798"/>
        <w:jc w:val="both"/>
        <w:rPr>
          <w:rFonts w:ascii="Arial" w:hAnsi="Arial" w:cs="Arial"/>
          <w:sz w:val="20"/>
          <w:szCs w:val="20"/>
        </w:rPr>
      </w:pPr>
    </w:p>
    <w:p w:rsidR="00F40723" w:rsidRDefault="001D5692" w:rsidP="00ED1F7D">
      <w:pPr>
        <w:widowControl/>
        <w:adjustRightInd w:val="0"/>
        <w:ind w:left="851" w:right="798"/>
        <w:jc w:val="both"/>
        <w:rPr>
          <w:rFonts w:ascii="Arial" w:hAnsi="Arial" w:cs="Arial"/>
          <w:i/>
          <w:sz w:val="18"/>
          <w:szCs w:val="18"/>
        </w:rPr>
      </w:pPr>
      <w:r>
        <w:rPr>
          <w:rFonts w:ascii="Arial" w:hAnsi="Arial" w:cs="Arial"/>
          <w:sz w:val="20"/>
          <w:szCs w:val="20"/>
        </w:rPr>
        <w:t xml:space="preserve">Cumpre-nos informar que em 2018 o Ibama alterou </w:t>
      </w:r>
      <w:r w:rsidR="00ED1F7D">
        <w:rPr>
          <w:rFonts w:ascii="Arial" w:hAnsi="Arial" w:cs="Arial"/>
          <w:sz w:val="20"/>
          <w:szCs w:val="20"/>
        </w:rPr>
        <w:t xml:space="preserve">a IN n.º 06/2013, </w:t>
      </w:r>
      <w:r w:rsidR="00ED1F7D" w:rsidRPr="00ED1F7D">
        <w:rPr>
          <w:rFonts w:ascii="Arial" w:hAnsi="Arial" w:cs="Arial"/>
          <w:sz w:val="20"/>
          <w:szCs w:val="20"/>
        </w:rPr>
        <w:t>que regulamenta o</w:t>
      </w:r>
      <w:r w:rsidR="00ED1F7D">
        <w:rPr>
          <w:rFonts w:ascii="Arial" w:hAnsi="Arial" w:cs="Arial"/>
          <w:sz w:val="20"/>
          <w:szCs w:val="20"/>
        </w:rPr>
        <w:t xml:space="preserve"> </w:t>
      </w:r>
      <w:r w:rsidR="00ED1F7D" w:rsidRPr="00ED1F7D">
        <w:rPr>
          <w:rFonts w:ascii="Arial" w:hAnsi="Arial" w:cs="Arial"/>
          <w:sz w:val="20"/>
          <w:szCs w:val="20"/>
        </w:rPr>
        <w:t>Cadastro Técnico Federal de Atividades</w:t>
      </w:r>
      <w:r w:rsidR="00ED1F7D">
        <w:rPr>
          <w:rFonts w:ascii="Arial" w:hAnsi="Arial" w:cs="Arial"/>
          <w:sz w:val="20"/>
          <w:szCs w:val="20"/>
        </w:rPr>
        <w:t xml:space="preserve"> </w:t>
      </w:r>
      <w:r w:rsidR="00ED1F7D" w:rsidRPr="00ED1F7D">
        <w:rPr>
          <w:rFonts w:ascii="Arial" w:hAnsi="Arial" w:cs="Arial"/>
          <w:sz w:val="20"/>
          <w:szCs w:val="20"/>
        </w:rPr>
        <w:t>Potencialmente Poluidoras e Utilizadoras</w:t>
      </w:r>
      <w:r w:rsidR="00ED1F7D">
        <w:rPr>
          <w:rFonts w:ascii="Arial" w:hAnsi="Arial" w:cs="Arial"/>
          <w:sz w:val="20"/>
          <w:szCs w:val="20"/>
        </w:rPr>
        <w:t xml:space="preserve"> </w:t>
      </w:r>
      <w:r w:rsidR="00ED1F7D" w:rsidRPr="00ED1F7D">
        <w:rPr>
          <w:rFonts w:ascii="Arial" w:hAnsi="Arial" w:cs="Arial"/>
          <w:sz w:val="20"/>
          <w:szCs w:val="20"/>
        </w:rPr>
        <w:t>de Recursos Ambientais - CTF/APP</w:t>
      </w:r>
      <w:r w:rsidR="00ED1F7D">
        <w:rPr>
          <w:rFonts w:ascii="Arial" w:hAnsi="Arial" w:cs="Arial"/>
          <w:sz w:val="20"/>
          <w:szCs w:val="20"/>
        </w:rPr>
        <w:t xml:space="preserve"> através de outra IN a </w:t>
      </w:r>
      <w:r w:rsidR="00ED1F7D" w:rsidRPr="00ED1F7D">
        <w:rPr>
          <w:rFonts w:ascii="Arial" w:hAnsi="Arial" w:cs="Arial"/>
          <w:b/>
          <w:sz w:val="20"/>
          <w:szCs w:val="20"/>
          <w:u w:val="single"/>
        </w:rPr>
        <w:t>n.º</w:t>
      </w:r>
      <w:r w:rsidR="00ED1F7D">
        <w:rPr>
          <w:rFonts w:ascii="Arial" w:hAnsi="Arial" w:cs="Arial"/>
          <w:b/>
          <w:sz w:val="20"/>
          <w:szCs w:val="20"/>
          <w:u w:val="single"/>
        </w:rPr>
        <w:t xml:space="preserve"> </w:t>
      </w:r>
      <w:r w:rsidR="00ED1F7D" w:rsidRPr="00ED1F7D">
        <w:rPr>
          <w:rFonts w:ascii="Arial" w:hAnsi="Arial" w:cs="Arial"/>
          <w:b/>
          <w:sz w:val="20"/>
          <w:szCs w:val="20"/>
          <w:u w:val="single"/>
        </w:rPr>
        <w:t>11/2018</w:t>
      </w:r>
      <w:r w:rsidR="00ED1F7D">
        <w:rPr>
          <w:rFonts w:ascii="Arial" w:hAnsi="Arial" w:cs="Arial"/>
          <w:sz w:val="20"/>
          <w:szCs w:val="20"/>
        </w:rPr>
        <w:t xml:space="preserve"> (</w:t>
      </w:r>
      <w:hyperlink r:id="rId14" w:history="1">
        <w:r w:rsidR="00ED1F7D" w:rsidRPr="00414F34">
          <w:rPr>
            <w:rStyle w:val="Hyperlink"/>
            <w:rFonts w:ascii="Arial" w:hAnsi="Arial" w:cs="Arial"/>
            <w:sz w:val="20"/>
            <w:szCs w:val="20"/>
          </w:rPr>
          <w:t>https://www.ibama.gov.br/sophia/cnia/legislacao/IBAMA/IN0011-130418.pdf</w:t>
        </w:r>
      </w:hyperlink>
      <w:r w:rsidR="00ED1F7D">
        <w:rPr>
          <w:rFonts w:ascii="Arial" w:hAnsi="Arial" w:cs="Arial"/>
          <w:sz w:val="20"/>
          <w:szCs w:val="20"/>
        </w:rPr>
        <w:t>). Vejamos o que diz no art. 10-B dessa Instrução Normativa: “</w:t>
      </w:r>
      <w:r w:rsidR="00ED1F7D" w:rsidRPr="00ED1F7D">
        <w:rPr>
          <w:rFonts w:ascii="Arial" w:hAnsi="Arial" w:cs="Arial"/>
          <w:i/>
          <w:sz w:val="18"/>
          <w:szCs w:val="18"/>
        </w:rPr>
        <w:t>São obrigadas à inscrição no CTF/APP as</w:t>
      </w:r>
      <w:r w:rsidR="00ED1F7D">
        <w:rPr>
          <w:rFonts w:ascii="Arial" w:hAnsi="Arial" w:cs="Arial"/>
          <w:i/>
          <w:sz w:val="18"/>
          <w:szCs w:val="18"/>
        </w:rPr>
        <w:t xml:space="preserve"> </w:t>
      </w:r>
      <w:r w:rsidR="00ED1F7D" w:rsidRPr="00ED1F7D">
        <w:rPr>
          <w:rFonts w:ascii="Arial" w:hAnsi="Arial" w:cs="Arial"/>
          <w:i/>
          <w:sz w:val="18"/>
          <w:szCs w:val="18"/>
        </w:rPr>
        <w:t>pessoas físicas e jurídicas que exerçam atividades sujeitas a</w:t>
      </w:r>
      <w:r w:rsidR="00F40723">
        <w:rPr>
          <w:rFonts w:ascii="Arial" w:hAnsi="Arial" w:cs="Arial"/>
          <w:i/>
          <w:sz w:val="18"/>
          <w:szCs w:val="18"/>
        </w:rPr>
        <w:t xml:space="preserve"> </w:t>
      </w:r>
      <w:r w:rsidR="00ED1F7D" w:rsidRPr="00ED1F7D">
        <w:rPr>
          <w:rFonts w:ascii="Arial" w:hAnsi="Arial" w:cs="Arial"/>
          <w:i/>
          <w:sz w:val="18"/>
          <w:szCs w:val="18"/>
        </w:rPr>
        <w:t>controle e fiscalização ambiental</w:t>
      </w:r>
      <w:r w:rsidR="00F40723">
        <w:rPr>
          <w:rFonts w:ascii="Arial" w:hAnsi="Arial" w:cs="Arial"/>
          <w:i/>
          <w:sz w:val="18"/>
          <w:szCs w:val="18"/>
        </w:rPr>
        <w:t xml:space="preserve"> (...)”.</w:t>
      </w:r>
    </w:p>
    <w:p w:rsidR="00F40723" w:rsidRDefault="00F40723" w:rsidP="00ED1F7D">
      <w:pPr>
        <w:widowControl/>
        <w:adjustRightInd w:val="0"/>
        <w:ind w:left="851" w:right="798"/>
        <w:jc w:val="both"/>
        <w:rPr>
          <w:rFonts w:ascii="Arial" w:hAnsi="Arial" w:cs="Arial"/>
          <w:i/>
          <w:sz w:val="18"/>
          <w:szCs w:val="18"/>
        </w:rPr>
      </w:pPr>
    </w:p>
    <w:p w:rsidR="00ED1F7D" w:rsidRDefault="00F40723" w:rsidP="00ED1F7D">
      <w:pPr>
        <w:widowControl/>
        <w:adjustRightInd w:val="0"/>
        <w:ind w:left="851" w:right="798"/>
        <w:jc w:val="both"/>
        <w:rPr>
          <w:rFonts w:ascii="Arial" w:hAnsi="Arial" w:cs="Arial"/>
          <w:b/>
          <w:i/>
          <w:sz w:val="18"/>
          <w:szCs w:val="18"/>
        </w:rPr>
      </w:pPr>
      <w:r w:rsidRPr="00F40723">
        <w:rPr>
          <w:rFonts w:ascii="Arial" w:hAnsi="Arial" w:cs="Arial"/>
          <w:sz w:val="20"/>
          <w:szCs w:val="20"/>
        </w:rPr>
        <w:t>No ar</w:t>
      </w:r>
      <w:r>
        <w:rPr>
          <w:rFonts w:ascii="Arial" w:hAnsi="Arial" w:cs="Arial"/>
          <w:sz w:val="20"/>
          <w:szCs w:val="20"/>
        </w:rPr>
        <w:t>tigo seguinte 10-C, reproduzo: “</w:t>
      </w:r>
      <w:r w:rsidRPr="00166BE5">
        <w:rPr>
          <w:b/>
          <w:i/>
          <w:sz w:val="18"/>
          <w:szCs w:val="18"/>
          <w:u w:val="single"/>
        </w:rPr>
        <w:t>Não se aplica a obrigatoriedade prevista no art. 10-B</w:t>
      </w:r>
      <w:r w:rsidRPr="00F40723">
        <w:rPr>
          <w:b/>
          <w:i/>
          <w:sz w:val="18"/>
          <w:szCs w:val="18"/>
        </w:rPr>
        <w:t>, quando:</w:t>
      </w:r>
      <w:r>
        <w:rPr>
          <w:b/>
          <w:i/>
          <w:sz w:val="18"/>
          <w:szCs w:val="18"/>
        </w:rPr>
        <w:t xml:space="preserve"> </w:t>
      </w:r>
      <w:r w:rsidRPr="00F40723">
        <w:rPr>
          <w:rFonts w:ascii="Arial" w:hAnsi="Arial" w:cs="Arial"/>
          <w:b/>
          <w:i/>
          <w:sz w:val="18"/>
          <w:szCs w:val="18"/>
        </w:rPr>
        <w:t xml:space="preserve">I - o órgão ambiental competente emitir dispensa de licenciamento ou autorização, com fundamento em normativa estabelecida pelo Conselho Nacional do Meio Ambiente - CONAMA e por Conselho Estadual de Meio Ambiente; ou II - </w:t>
      </w:r>
      <w:r w:rsidRPr="00F40723">
        <w:rPr>
          <w:rFonts w:ascii="Arial" w:hAnsi="Arial" w:cs="Arial"/>
          <w:b/>
          <w:i/>
          <w:sz w:val="18"/>
          <w:szCs w:val="18"/>
          <w:u w:val="single"/>
        </w:rPr>
        <w:t>o órgão ambiental competente controlar ou fiscalizar atividade por força de legislação exclusivamente distrital, estadual ou municipal, e que não esteja relacionada no Anexo I</w:t>
      </w:r>
      <w:r w:rsidRPr="00F40723">
        <w:rPr>
          <w:rFonts w:ascii="Arial" w:hAnsi="Arial" w:cs="Arial"/>
          <w:b/>
          <w:i/>
          <w:sz w:val="18"/>
          <w:szCs w:val="18"/>
        </w:rPr>
        <w:t xml:space="preserve">; III - </w:t>
      </w:r>
      <w:r w:rsidRPr="00F40723">
        <w:rPr>
          <w:rFonts w:ascii="Arial" w:hAnsi="Arial" w:cs="Arial"/>
          <w:b/>
          <w:i/>
          <w:sz w:val="18"/>
          <w:szCs w:val="18"/>
          <w:u w:val="single"/>
        </w:rPr>
        <w:t>a pessoa jurídica for proprietária de unidade produtiva de indústria, comércio ou de prestação de serviços arrendada ou locada a terceiros, desde que não exerça quaisquer atividades potencialmente poluidoras e utilizadoras de recursos ambientais relacionadas no Anexo I</w:t>
      </w:r>
      <w:r w:rsidRPr="00F40723">
        <w:rPr>
          <w:rFonts w:ascii="Arial" w:hAnsi="Arial" w:cs="Arial"/>
          <w:b/>
          <w:i/>
          <w:sz w:val="18"/>
          <w:szCs w:val="18"/>
        </w:rPr>
        <w:t>; IV - a pessoa jurídica for contratante de industrialização por encomenda, desde que todas as atividades relacionadas no Anexo I sejam exercidas integralmente por terceiros." (NR)</w:t>
      </w:r>
      <w:r>
        <w:rPr>
          <w:rFonts w:ascii="Arial" w:hAnsi="Arial" w:cs="Arial"/>
          <w:b/>
          <w:i/>
          <w:sz w:val="18"/>
          <w:szCs w:val="18"/>
        </w:rPr>
        <w:t xml:space="preserve">. </w:t>
      </w:r>
      <w:r w:rsidR="00166BE5">
        <w:rPr>
          <w:rFonts w:ascii="Arial" w:hAnsi="Arial" w:cs="Arial"/>
          <w:b/>
          <w:i/>
          <w:sz w:val="18"/>
          <w:szCs w:val="18"/>
        </w:rPr>
        <w:t>(grifo nosso)</w:t>
      </w:r>
    </w:p>
    <w:p w:rsidR="00F40723" w:rsidRDefault="00F40723" w:rsidP="00ED1F7D">
      <w:pPr>
        <w:widowControl/>
        <w:adjustRightInd w:val="0"/>
        <w:ind w:left="851" w:right="798"/>
        <w:jc w:val="both"/>
        <w:rPr>
          <w:rFonts w:ascii="Arial" w:hAnsi="Arial" w:cs="Arial"/>
          <w:b/>
          <w:i/>
          <w:sz w:val="18"/>
          <w:szCs w:val="18"/>
        </w:rPr>
      </w:pPr>
    </w:p>
    <w:p w:rsidR="00F40723" w:rsidRDefault="00F40723" w:rsidP="00ED1F7D">
      <w:pPr>
        <w:widowControl/>
        <w:adjustRightInd w:val="0"/>
        <w:ind w:left="851" w:right="798"/>
        <w:jc w:val="both"/>
      </w:pPr>
      <w:r w:rsidRPr="00F40723">
        <w:rPr>
          <w:rFonts w:ascii="Arial" w:hAnsi="Arial" w:cs="Arial"/>
          <w:sz w:val="20"/>
          <w:szCs w:val="20"/>
        </w:rPr>
        <w:t>E para concluir essa parte reproduzo também o artigo 10-D:</w:t>
      </w:r>
      <w:r>
        <w:rPr>
          <w:rFonts w:ascii="Arial" w:hAnsi="Arial" w:cs="Arial"/>
          <w:b/>
          <w:i/>
          <w:sz w:val="18"/>
          <w:szCs w:val="18"/>
        </w:rPr>
        <w:t xml:space="preserve"> “</w:t>
      </w:r>
      <w:r w:rsidRPr="00166BE5">
        <w:rPr>
          <w:rFonts w:ascii="Arial" w:hAnsi="Arial" w:cs="Arial"/>
          <w:b/>
          <w:i/>
          <w:sz w:val="18"/>
          <w:szCs w:val="18"/>
          <w:u w:val="single"/>
        </w:rPr>
        <w:t>Não é obrigado à inscrição no CTF/APP</w:t>
      </w:r>
      <w:r w:rsidRPr="00F40723">
        <w:rPr>
          <w:rFonts w:ascii="Arial" w:hAnsi="Arial" w:cs="Arial"/>
          <w:b/>
          <w:i/>
          <w:sz w:val="18"/>
          <w:szCs w:val="18"/>
        </w:rPr>
        <w:t xml:space="preserve"> o consórcio de </w:t>
      </w:r>
      <w:r w:rsidRPr="00F40723">
        <w:rPr>
          <w:rFonts w:ascii="Arial" w:hAnsi="Arial" w:cs="Arial"/>
          <w:b/>
          <w:i/>
          <w:sz w:val="18"/>
          <w:szCs w:val="18"/>
          <w:u w:val="single"/>
        </w:rPr>
        <w:t>Sociedades Anônimas</w:t>
      </w:r>
      <w:r w:rsidRPr="00F40723">
        <w:rPr>
          <w:rFonts w:ascii="Arial" w:hAnsi="Arial" w:cs="Arial"/>
          <w:b/>
          <w:i/>
          <w:sz w:val="18"/>
          <w:szCs w:val="18"/>
        </w:rPr>
        <w:t>, a que se referem os arts. 278 e 279 da Lei nº 6.404, de 15 de dezembro de 1976, e alterações</w:t>
      </w:r>
      <w:r w:rsidRPr="00166BE5">
        <w:rPr>
          <w:rFonts w:ascii="Arial" w:hAnsi="Arial" w:cs="Arial"/>
          <w:b/>
          <w:i/>
          <w:sz w:val="18"/>
          <w:szCs w:val="18"/>
        </w:rPr>
        <w:t>.</w:t>
      </w:r>
      <w:r w:rsidR="00166BE5" w:rsidRPr="00166BE5">
        <w:rPr>
          <w:rFonts w:ascii="Arial" w:hAnsi="Arial" w:cs="Arial"/>
          <w:b/>
          <w:i/>
          <w:sz w:val="18"/>
          <w:szCs w:val="18"/>
        </w:rPr>
        <w:t>(grifo nosso)</w:t>
      </w:r>
    </w:p>
    <w:p w:rsidR="00F40723" w:rsidRDefault="00F40723" w:rsidP="00ED1F7D">
      <w:pPr>
        <w:widowControl/>
        <w:adjustRightInd w:val="0"/>
        <w:ind w:left="851" w:right="798"/>
        <w:jc w:val="both"/>
        <w:rPr>
          <w:rFonts w:ascii="Arial" w:hAnsi="Arial" w:cs="Arial"/>
          <w:b/>
          <w:i/>
          <w:sz w:val="18"/>
          <w:szCs w:val="18"/>
        </w:rPr>
      </w:pPr>
    </w:p>
    <w:p w:rsidR="00F40723" w:rsidRDefault="00F40723" w:rsidP="00ED1F7D">
      <w:pPr>
        <w:widowControl/>
        <w:adjustRightInd w:val="0"/>
        <w:ind w:left="851" w:right="798"/>
        <w:jc w:val="both"/>
        <w:rPr>
          <w:rFonts w:ascii="Arial" w:hAnsi="Arial" w:cs="Arial"/>
          <w:sz w:val="20"/>
          <w:szCs w:val="20"/>
        </w:rPr>
      </w:pPr>
      <w:r w:rsidRPr="00534282">
        <w:rPr>
          <w:rFonts w:ascii="Arial" w:hAnsi="Arial" w:cs="Arial"/>
          <w:sz w:val="20"/>
          <w:szCs w:val="20"/>
        </w:rPr>
        <w:t xml:space="preserve">Diante do que foi colocado </w:t>
      </w:r>
      <w:bookmarkStart w:id="0" w:name="_GoBack"/>
      <w:bookmarkEnd w:id="0"/>
      <w:r w:rsidRPr="00534282">
        <w:rPr>
          <w:rFonts w:ascii="Arial" w:hAnsi="Arial" w:cs="Arial"/>
          <w:sz w:val="20"/>
          <w:szCs w:val="20"/>
        </w:rPr>
        <w:t xml:space="preserve">acima, verifica-se claramente que a exigência que a empresa impugnante solicita extrapola os limites impostos pela Lei n.º 8.666/1993, </w:t>
      </w:r>
      <w:r w:rsidR="00166BE5">
        <w:rPr>
          <w:rFonts w:ascii="Arial" w:hAnsi="Arial" w:cs="Arial"/>
          <w:sz w:val="20"/>
          <w:szCs w:val="20"/>
        </w:rPr>
        <w:t>no que se refere à exigência de docume</w:t>
      </w:r>
      <w:r w:rsidR="005D3DC7">
        <w:rPr>
          <w:rFonts w:ascii="Arial" w:hAnsi="Arial" w:cs="Arial"/>
          <w:sz w:val="20"/>
          <w:szCs w:val="20"/>
        </w:rPr>
        <w:t>n</w:t>
      </w:r>
      <w:r w:rsidR="00166BE5">
        <w:rPr>
          <w:rFonts w:ascii="Arial" w:hAnsi="Arial" w:cs="Arial"/>
          <w:sz w:val="20"/>
          <w:szCs w:val="20"/>
        </w:rPr>
        <w:t xml:space="preserve">tação, </w:t>
      </w:r>
      <w:r w:rsidRPr="00534282">
        <w:rPr>
          <w:rFonts w:ascii="Arial" w:hAnsi="Arial" w:cs="Arial"/>
          <w:sz w:val="20"/>
          <w:szCs w:val="20"/>
        </w:rPr>
        <w:t xml:space="preserve">esse registro com certificado irá restringir </w:t>
      </w:r>
      <w:r w:rsidR="007F2A66" w:rsidRPr="00534282">
        <w:rPr>
          <w:rFonts w:ascii="Arial" w:hAnsi="Arial" w:cs="Arial"/>
          <w:sz w:val="20"/>
          <w:szCs w:val="20"/>
        </w:rPr>
        <w:t xml:space="preserve">sim </w:t>
      </w:r>
      <w:r w:rsidRPr="00534282">
        <w:rPr>
          <w:rFonts w:ascii="Arial" w:hAnsi="Arial" w:cs="Arial"/>
          <w:sz w:val="20"/>
          <w:szCs w:val="20"/>
        </w:rPr>
        <w:t>a competitividade</w:t>
      </w:r>
      <w:r w:rsidR="007F2A66" w:rsidRPr="00534282">
        <w:rPr>
          <w:rFonts w:ascii="Arial" w:hAnsi="Arial" w:cs="Arial"/>
          <w:sz w:val="20"/>
          <w:szCs w:val="20"/>
        </w:rPr>
        <w:t xml:space="preserve"> pelo fato de que verificando o </w:t>
      </w:r>
      <w:r w:rsidR="007F2A66" w:rsidRPr="00534282">
        <w:rPr>
          <w:rFonts w:ascii="Arial" w:hAnsi="Arial" w:cs="Arial"/>
          <w:b/>
          <w:sz w:val="20"/>
          <w:szCs w:val="20"/>
        </w:rPr>
        <w:t>inciso II</w:t>
      </w:r>
      <w:r w:rsidR="007F2A66" w:rsidRPr="00534282">
        <w:rPr>
          <w:rFonts w:ascii="Arial" w:hAnsi="Arial" w:cs="Arial"/>
          <w:sz w:val="20"/>
          <w:szCs w:val="20"/>
        </w:rPr>
        <w:t xml:space="preserve"> acima, </w:t>
      </w:r>
      <w:r w:rsidR="006304F4">
        <w:rPr>
          <w:rFonts w:ascii="Arial" w:hAnsi="Arial" w:cs="Arial"/>
          <w:sz w:val="20"/>
          <w:szCs w:val="20"/>
        </w:rPr>
        <w:t xml:space="preserve">por exemplo, </w:t>
      </w:r>
      <w:r w:rsidR="007F2A66" w:rsidRPr="00534282">
        <w:rPr>
          <w:rFonts w:ascii="Arial" w:hAnsi="Arial" w:cs="Arial"/>
          <w:sz w:val="20"/>
          <w:szCs w:val="20"/>
        </w:rPr>
        <w:t xml:space="preserve">uma </w:t>
      </w:r>
      <w:r w:rsidR="007F2A66" w:rsidRPr="00534282">
        <w:rPr>
          <w:rFonts w:ascii="Arial" w:hAnsi="Arial" w:cs="Arial"/>
          <w:b/>
          <w:sz w:val="20"/>
          <w:szCs w:val="20"/>
        </w:rPr>
        <w:t>empresa</w:t>
      </w:r>
      <w:r w:rsidR="007F2A66" w:rsidRPr="00534282">
        <w:rPr>
          <w:rFonts w:ascii="Arial" w:hAnsi="Arial" w:cs="Arial"/>
          <w:sz w:val="20"/>
          <w:szCs w:val="20"/>
        </w:rPr>
        <w:t xml:space="preserve"> municipal ou estadual, sendo regida pelo órgão ambiental competente do seu Estado </w:t>
      </w:r>
      <w:r w:rsidR="00166BE5">
        <w:rPr>
          <w:rFonts w:ascii="Arial" w:hAnsi="Arial" w:cs="Arial"/>
          <w:sz w:val="20"/>
          <w:szCs w:val="20"/>
        </w:rPr>
        <w:t>ou Município estaria liberada da inscrição no CTF/APP</w:t>
      </w:r>
      <w:r w:rsidR="007F2A66" w:rsidRPr="00534282">
        <w:rPr>
          <w:rFonts w:ascii="Arial" w:hAnsi="Arial" w:cs="Arial"/>
          <w:sz w:val="20"/>
          <w:szCs w:val="20"/>
        </w:rPr>
        <w:t xml:space="preserve">. Caso a Administração Pública exigisse esse documento estaria eliminando toda e qualquer possibilidade de </w:t>
      </w:r>
      <w:r w:rsidR="007F2A66" w:rsidRPr="00166BE5">
        <w:rPr>
          <w:rFonts w:ascii="Arial" w:hAnsi="Arial" w:cs="Arial"/>
          <w:b/>
          <w:sz w:val="20"/>
          <w:szCs w:val="20"/>
        </w:rPr>
        <w:t>empresas</w:t>
      </w:r>
      <w:r w:rsidR="006304F4">
        <w:rPr>
          <w:rFonts w:ascii="Arial" w:hAnsi="Arial" w:cs="Arial"/>
          <w:sz w:val="20"/>
          <w:szCs w:val="20"/>
        </w:rPr>
        <w:t xml:space="preserve"> nessa situaçã</w:t>
      </w:r>
      <w:r w:rsidR="00166BE5">
        <w:rPr>
          <w:rFonts w:ascii="Arial" w:hAnsi="Arial" w:cs="Arial"/>
          <w:sz w:val="20"/>
          <w:szCs w:val="20"/>
        </w:rPr>
        <w:t>o da</w:t>
      </w:r>
      <w:r w:rsidR="007F2A66" w:rsidRPr="00534282">
        <w:rPr>
          <w:rFonts w:ascii="Arial" w:hAnsi="Arial" w:cs="Arial"/>
          <w:sz w:val="20"/>
          <w:szCs w:val="20"/>
        </w:rPr>
        <w:t xml:space="preserve"> </w:t>
      </w:r>
      <w:r w:rsidR="007F2A66" w:rsidRPr="00534282">
        <w:rPr>
          <w:rFonts w:ascii="Arial" w:hAnsi="Arial" w:cs="Arial"/>
          <w:b/>
          <w:sz w:val="20"/>
          <w:szCs w:val="20"/>
        </w:rPr>
        <w:t>não obrigatoriedade</w:t>
      </w:r>
      <w:r w:rsidR="007F2A66" w:rsidRPr="00534282">
        <w:rPr>
          <w:rFonts w:ascii="Arial" w:hAnsi="Arial" w:cs="Arial"/>
          <w:sz w:val="20"/>
          <w:szCs w:val="20"/>
        </w:rPr>
        <w:t xml:space="preserve"> da inscrição no CTF/APP de participar de qualquer </w:t>
      </w:r>
      <w:r w:rsidR="00837748">
        <w:rPr>
          <w:rFonts w:ascii="Arial" w:hAnsi="Arial" w:cs="Arial"/>
          <w:sz w:val="20"/>
          <w:szCs w:val="20"/>
        </w:rPr>
        <w:t xml:space="preserve">certame </w:t>
      </w:r>
      <w:r w:rsidR="007F2A66" w:rsidRPr="00534282">
        <w:rPr>
          <w:rFonts w:ascii="Arial" w:hAnsi="Arial" w:cs="Arial"/>
          <w:sz w:val="20"/>
          <w:szCs w:val="20"/>
        </w:rPr>
        <w:t xml:space="preserve">licitatório que envolva esse tipo </w:t>
      </w:r>
      <w:r w:rsidR="00534282" w:rsidRPr="00534282">
        <w:rPr>
          <w:rFonts w:ascii="Arial" w:hAnsi="Arial" w:cs="Arial"/>
          <w:sz w:val="20"/>
          <w:szCs w:val="20"/>
        </w:rPr>
        <w:t>objeto.</w:t>
      </w:r>
    </w:p>
    <w:p w:rsidR="00534282" w:rsidRDefault="00534282" w:rsidP="00ED1F7D">
      <w:pPr>
        <w:widowControl/>
        <w:adjustRightInd w:val="0"/>
        <w:ind w:left="851" w:right="798"/>
        <w:jc w:val="both"/>
        <w:rPr>
          <w:rFonts w:ascii="Arial" w:hAnsi="Arial" w:cs="Arial"/>
          <w:sz w:val="20"/>
          <w:szCs w:val="20"/>
        </w:rPr>
      </w:pPr>
    </w:p>
    <w:p w:rsidR="00534282" w:rsidRDefault="00534282" w:rsidP="00ED1F7D">
      <w:pPr>
        <w:widowControl/>
        <w:adjustRightInd w:val="0"/>
        <w:ind w:left="851" w:right="798"/>
        <w:jc w:val="both"/>
        <w:rPr>
          <w:rFonts w:ascii="Arial" w:hAnsi="Arial" w:cs="Arial"/>
          <w:sz w:val="20"/>
          <w:szCs w:val="20"/>
        </w:rPr>
      </w:pPr>
      <w:r>
        <w:rPr>
          <w:rFonts w:ascii="Arial" w:hAnsi="Arial" w:cs="Arial"/>
          <w:sz w:val="20"/>
          <w:szCs w:val="20"/>
        </w:rPr>
        <w:t>No mesmo sentido</w:t>
      </w:r>
      <w:r w:rsidR="00C23F66">
        <w:rPr>
          <w:rFonts w:ascii="Arial" w:hAnsi="Arial" w:cs="Arial"/>
          <w:sz w:val="20"/>
          <w:szCs w:val="20"/>
        </w:rPr>
        <w:t>, podemos</w:t>
      </w:r>
      <w:r>
        <w:rPr>
          <w:rFonts w:ascii="Arial" w:hAnsi="Arial" w:cs="Arial"/>
          <w:sz w:val="20"/>
          <w:szCs w:val="20"/>
        </w:rPr>
        <w:t xml:space="preserve"> observar o </w:t>
      </w:r>
      <w:r w:rsidRPr="00C04CE0">
        <w:rPr>
          <w:rFonts w:ascii="Arial" w:hAnsi="Arial" w:cs="Arial"/>
          <w:b/>
          <w:sz w:val="20"/>
          <w:szCs w:val="20"/>
        </w:rPr>
        <w:t>inciso III</w:t>
      </w:r>
      <w:r>
        <w:rPr>
          <w:rFonts w:ascii="Arial" w:hAnsi="Arial" w:cs="Arial"/>
          <w:sz w:val="20"/>
          <w:szCs w:val="20"/>
        </w:rPr>
        <w:t xml:space="preserve"> acima,</w:t>
      </w:r>
      <w:r w:rsidR="00C23F66">
        <w:rPr>
          <w:rFonts w:ascii="Arial" w:hAnsi="Arial" w:cs="Arial"/>
          <w:sz w:val="20"/>
          <w:szCs w:val="20"/>
        </w:rPr>
        <w:t xml:space="preserve"> uma pessoa jurídica que seja proprietária de </w:t>
      </w:r>
      <w:r w:rsidR="00C23F66" w:rsidRPr="00C23F66">
        <w:rPr>
          <w:rFonts w:ascii="Arial" w:hAnsi="Arial" w:cs="Arial"/>
          <w:b/>
          <w:sz w:val="20"/>
          <w:szCs w:val="20"/>
        </w:rPr>
        <w:t>comércio</w:t>
      </w:r>
      <w:r w:rsidR="00C23F66">
        <w:rPr>
          <w:rFonts w:ascii="Arial" w:hAnsi="Arial" w:cs="Arial"/>
          <w:sz w:val="20"/>
          <w:szCs w:val="20"/>
        </w:rPr>
        <w:t>, desde que não exerça quaisquer atividades potencialmente poluidoras e utili</w:t>
      </w:r>
      <w:r w:rsidR="00C04CE0">
        <w:rPr>
          <w:rFonts w:ascii="Arial" w:hAnsi="Arial" w:cs="Arial"/>
          <w:sz w:val="20"/>
          <w:szCs w:val="20"/>
        </w:rPr>
        <w:t xml:space="preserve">zadoras de recursos ambientais </w:t>
      </w:r>
      <w:r w:rsidR="00C23F66">
        <w:rPr>
          <w:rFonts w:ascii="Arial" w:hAnsi="Arial" w:cs="Arial"/>
          <w:sz w:val="20"/>
          <w:szCs w:val="20"/>
        </w:rPr>
        <w:t>estaria também liberada da inscrição no CTF/APP</w:t>
      </w:r>
      <w:r w:rsidR="00C04CE0">
        <w:rPr>
          <w:rFonts w:ascii="Arial" w:hAnsi="Arial" w:cs="Arial"/>
          <w:sz w:val="20"/>
          <w:szCs w:val="20"/>
        </w:rPr>
        <w:t>, porém,</w:t>
      </w:r>
      <w:r w:rsidR="00C23F66">
        <w:rPr>
          <w:rFonts w:ascii="Arial" w:hAnsi="Arial" w:cs="Arial"/>
          <w:sz w:val="20"/>
          <w:szCs w:val="20"/>
        </w:rPr>
        <w:t xml:space="preserve"> </w:t>
      </w:r>
      <w:r w:rsidR="00A160FF" w:rsidRPr="00A160FF">
        <w:rPr>
          <w:rFonts w:ascii="Arial" w:hAnsi="Arial" w:cs="Arial"/>
          <w:b/>
          <w:sz w:val="20"/>
          <w:szCs w:val="20"/>
        </w:rPr>
        <w:t xml:space="preserve">esses comércios </w:t>
      </w:r>
      <w:r w:rsidR="00C23F66" w:rsidRPr="00A160FF">
        <w:rPr>
          <w:rFonts w:ascii="Arial" w:hAnsi="Arial" w:cs="Arial"/>
          <w:b/>
          <w:sz w:val="20"/>
          <w:szCs w:val="20"/>
        </w:rPr>
        <w:t>ficaria</w:t>
      </w:r>
      <w:r w:rsidR="00A160FF" w:rsidRPr="00A160FF">
        <w:rPr>
          <w:rFonts w:ascii="Arial" w:hAnsi="Arial" w:cs="Arial"/>
          <w:b/>
          <w:sz w:val="20"/>
          <w:szCs w:val="20"/>
        </w:rPr>
        <w:t>m impossibilitados</w:t>
      </w:r>
      <w:r w:rsidR="00C23F66" w:rsidRPr="00A160FF">
        <w:rPr>
          <w:rFonts w:ascii="Arial" w:hAnsi="Arial" w:cs="Arial"/>
          <w:b/>
          <w:sz w:val="20"/>
          <w:szCs w:val="20"/>
        </w:rPr>
        <w:t xml:space="preserve"> </w:t>
      </w:r>
      <w:r w:rsidR="006304F4" w:rsidRPr="00A160FF">
        <w:rPr>
          <w:rFonts w:ascii="Arial" w:hAnsi="Arial" w:cs="Arial"/>
          <w:b/>
          <w:sz w:val="20"/>
          <w:szCs w:val="20"/>
        </w:rPr>
        <w:t xml:space="preserve">também </w:t>
      </w:r>
      <w:r w:rsidR="00C23F66" w:rsidRPr="00A160FF">
        <w:rPr>
          <w:rFonts w:ascii="Arial" w:hAnsi="Arial" w:cs="Arial"/>
          <w:b/>
          <w:sz w:val="20"/>
          <w:szCs w:val="20"/>
        </w:rPr>
        <w:t>de participar</w:t>
      </w:r>
      <w:r w:rsidR="006304F4" w:rsidRPr="00A160FF">
        <w:rPr>
          <w:rFonts w:ascii="Arial" w:hAnsi="Arial" w:cs="Arial"/>
          <w:b/>
          <w:sz w:val="20"/>
          <w:szCs w:val="20"/>
        </w:rPr>
        <w:t xml:space="preserve"> d</w:t>
      </w:r>
      <w:r w:rsidR="00C23F66" w:rsidRPr="00A160FF">
        <w:rPr>
          <w:rFonts w:ascii="Arial" w:hAnsi="Arial" w:cs="Arial"/>
          <w:b/>
          <w:sz w:val="20"/>
          <w:szCs w:val="20"/>
        </w:rPr>
        <w:t>e licitaçao</w:t>
      </w:r>
      <w:r w:rsidR="00C23F66">
        <w:rPr>
          <w:rFonts w:ascii="Arial" w:hAnsi="Arial" w:cs="Arial"/>
          <w:sz w:val="20"/>
          <w:szCs w:val="20"/>
        </w:rPr>
        <w:t xml:space="preserve">, </w:t>
      </w:r>
      <w:r w:rsidR="00C04CE0">
        <w:rPr>
          <w:rFonts w:ascii="Arial" w:hAnsi="Arial" w:cs="Arial"/>
          <w:sz w:val="20"/>
          <w:szCs w:val="20"/>
        </w:rPr>
        <w:t>se houvesse essa condiça</w:t>
      </w:r>
      <w:r w:rsidR="003725C2">
        <w:rPr>
          <w:rFonts w:ascii="Arial" w:hAnsi="Arial" w:cs="Arial"/>
          <w:sz w:val="20"/>
          <w:szCs w:val="20"/>
        </w:rPr>
        <w:t>o de exigência conforme requer</w:t>
      </w:r>
      <w:r w:rsidR="00C04CE0">
        <w:rPr>
          <w:rFonts w:ascii="Arial" w:hAnsi="Arial" w:cs="Arial"/>
          <w:sz w:val="20"/>
          <w:szCs w:val="20"/>
        </w:rPr>
        <w:t xml:space="preserve"> a empresa impugnante.</w:t>
      </w:r>
      <w:r w:rsidR="00A160FF">
        <w:rPr>
          <w:rFonts w:ascii="Arial" w:hAnsi="Arial" w:cs="Arial"/>
          <w:sz w:val="20"/>
          <w:szCs w:val="20"/>
        </w:rPr>
        <w:t xml:space="preserve"> </w:t>
      </w:r>
      <w:r w:rsidR="00A160FF">
        <w:rPr>
          <w:rFonts w:ascii="Arial" w:hAnsi="Arial" w:cs="Arial"/>
          <w:sz w:val="20"/>
          <w:szCs w:val="20"/>
        </w:rPr>
        <w:lastRenderedPageBreak/>
        <w:t xml:space="preserve">E </w:t>
      </w:r>
      <w:r w:rsidR="00261A8E">
        <w:rPr>
          <w:rFonts w:ascii="Arial" w:hAnsi="Arial" w:cs="Arial"/>
          <w:sz w:val="20"/>
          <w:szCs w:val="20"/>
        </w:rPr>
        <w:t xml:space="preserve">devem existir </w:t>
      </w:r>
      <w:r w:rsidR="00A160FF">
        <w:rPr>
          <w:rFonts w:ascii="Arial" w:hAnsi="Arial" w:cs="Arial"/>
          <w:sz w:val="20"/>
          <w:szCs w:val="20"/>
        </w:rPr>
        <w:t>diversas empresas no país que fazem parte dessa situação mencionada nesse inciso.</w:t>
      </w:r>
    </w:p>
    <w:p w:rsidR="00C04CE0" w:rsidRDefault="00C04CE0" w:rsidP="00ED1F7D">
      <w:pPr>
        <w:widowControl/>
        <w:adjustRightInd w:val="0"/>
        <w:ind w:left="851" w:right="798"/>
        <w:jc w:val="both"/>
        <w:rPr>
          <w:rFonts w:ascii="Arial" w:hAnsi="Arial" w:cs="Arial"/>
          <w:sz w:val="20"/>
          <w:szCs w:val="20"/>
        </w:rPr>
      </w:pPr>
    </w:p>
    <w:p w:rsidR="00534282" w:rsidRDefault="00C04CE0" w:rsidP="00837748">
      <w:pPr>
        <w:widowControl/>
        <w:adjustRightInd w:val="0"/>
        <w:ind w:left="851" w:right="798"/>
        <w:jc w:val="both"/>
        <w:rPr>
          <w:rFonts w:ascii="Arial" w:eastAsiaTheme="minorHAnsi" w:hAnsi="Arial" w:cs="Arial"/>
          <w:sz w:val="20"/>
          <w:szCs w:val="20"/>
          <w:lang w:val="pt-BR"/>
        </w:rPr>
      </w:pPr>
      <w:r>
        <w:rPr>
          <w:rFonts w:ascii="Arial" w:hAnsi="Arial" w:cs="Arial"/>
          <w:sz w:val="20"/>
          <w:szCs w:val="20"/>
        </w:rPr>
        <w:t>E por fim, porém não menos importante, o art. 10-D</w:t>
      </w:r>
      <w:r w:rsidR="00837748">
        <w:rPr>
          <w:rFonts w:ascii="Arial" w:hAnsi="Arial" w:cs="Arial"/>
          <w:sz w:val="20"/>
          <w:szCs w:val="20"/>
        </w:rPr>
        <w:t xml:space="preserve"> da IN. n.º 11/2018 </w:t>
      </w:r>
      <w:r>
        <w:rPr>
          <w:rFonts w:ascii="Arial" w:hAnsi="Arial" w:cs="Arial"/>
          <w:sz w:val="20"/>
          <w:szCs w:val="20"/>
        </w:rPr>
        <w:t xml:space="preserve"> é claro em afirmar que </w:t>
      </w:r>
      <w:r w:rsidRPr="00C04CE0">
        <w:rPr>
          <w:rFonts w:ascii="Arial" w:hAnsi="Arial" w:cs="Arial"/>
          <w:b/>
          <w:sz w:val="20"/>
          <w:szCs w:val="20"/>
        </w:rPr>
        <w:t>Sociedades Anônimas estão desobrigadas</w:t>
      </w:r>
      <w:r>
        <w:rPr>
          <w:rFonts w:ascii="Arial" w:hAnsi="Arial" w:cs="Arial"/>
          <w:sz w:val="20"/>
          <w:szCs w:val="20"/>
        </w:rPr>
        <w:t xml:space="preserve"> a essa inscriçao no CTF/APP, vejamos </w:t>
      </w:r>
      <w:r w:rsidR="00837748">
        <w:rPr>
          <w:rFonts w:ascii="Arial" w:hAnsi="Arial" w:cs="Arial"/>
          <w:sz w:val="20"/>
          <w:szCs w:val="20"/>
        </w:rPr>
        <w:t>o subitem 9.8.4. (habilitação jurídica) do Edital dessa Procuradoria: “</w:t>
      </w:r>
      <w:r w:rsidR="00837748" w:rsidRPr="00837748">
        <w:rPr>
          <w:rFonts w:ascii="Arial" w:eastAsiaTheme="minorHAnsi" w:hAnsi="Arial" w:cs="Arial"/>
          <w:i/>
          <w:sz w:val="18"/>
          <w:szCs w:val="18"/>
          <w:lang w:val="pt-BR"/>
        </w:rPr>
        <w:t>No caso de sociedade empresária ou empresa individual de responsabilidade limitada - EIRELI: ato constitutivo, estatuto ou contrato social em vigor, devidamente registrado na Junta Comercial da respectiva sede, com as respectivas alterações ou da consolidação respectiva</w:t>
      </w:r>
      <w:r w:rsidR="00837748">
        <w:rPr>
          <w:rFonts w:ascii="Arial" w:eastAsiaTheme="minorHAnsi" w:hAnsi="Arial" w:cs="Arial"/>
          <w:i/>
          <w:sz w:val="18"/>
          <w:szCs w:val="18"/>
          <w:lang w:val="pt-BR"/>
        </w:rPr>
        <w:t>”</w:t>
      </w:r>
      <w:r w:rsidR="00837748">
        <w:rPr>
          <w:rFonts w:ascii="Arial" w:eastAsiaTheme="minorHAnsi" w:hAnsi="Arial" w:cs="Arial"/>
          <w:sz w:val="20"/>
          <w:szCs w:val="20"/>
          <w:lang w:val="pt-BR"/>
        </w:rPr>
        <w:t>. A sociedade empresarial é a forma ampla</w:t>
      </w:r>
      <w:r w:rsidR="00261A8E">
        <w:rPr>
          <w:rFonts w:ascii="Arial" w:eastAsiaTheme="minorHAnsi" w:hAnsi="Arial" w:cs="Arial"/>
          <w:sz w:val="20"/>
          <w:szCs w:val="20"/>
          <w:lang w:val="pt-BR"/>
        </w:rPr>
        <w:t>, geral</w:t>
      </w:r>
      <w:r w:rsidR="00837748">
        <w:rPr>
          <w:rFonts w:ascii="Arial" w:eastAsiaTheme="minorHAnsi" w:hAnsi="Arial" w:cs="Arial"/>
          <w:sz w:val="20"/>
          <w:szCs w:val="20"/>
          <w:lang w:val="pt-BR"/>
        </w:rPr>
        <w:t xml:space="preserve"> que envolve diversos tipos de sociedades, como por exemplo, sociedade simples, sociedade anônima, sociedade limitada e outras. Essa exigência de certificado que a empresa impugnante solicita</w:t>
      </w:r>
      <w:r w:rsidR="00A937A9">
        <w:rPr>
          <w:rFonts w:ascii="Arial" w:eastAsiaTheme="minorHAnsi" w:hAnsi="Arial" w:cs="Arial"/>
          <w:sz w:val="20"/>
          <w:szCs w:val="20"/>
          <w:lang w:val="pt-BR"/>
        </w:rPr>
        <w:t>,</w:t>
      </w:r>
      <w:r w:rsidR="008C3351">
        <w:rPr>
          <w:rFonts w:ascii="Arial" w:eastAsiaTheme="minorHAnsi" w:hAnsi="Arial" w:cs="Arial"/>
          <w:sz w:val="20"/>
          <w:szCs w:val="20"/>
          <w:lang w:val="pt-BR"/>
        </w:rPr>
        <w:t xml:space="preserve"> mais uma vez está</w:t>
      </w:r>
      <w:r w:rsidR="00837748">
        <w:rPr>
          <w:rFonts w:ascii="Arial" w:eastAsiaTheme="minorHAnsi" w:hAnsi="Arial" w:cs="Arial"/>
          <w:sz w:val="20"/>
          <w:szCs w:val="20"/>
          <w:lang w:val="pt-BR"/>
        </w:rPr>
        <w:t xml:space="preserve"> indo contra os princípios licitatórios, no que tange principalmente, </w:t>
      </w:r>
      <w:r w:rsidR="00837748" w:rsidRPr="003725C2">
        <w:rPr>
          <w:rFonts w:ascii="Arial" w:eastAsiaTheme="minorHAnsi" w:hAnsi="Arial" w:cs="Arial"/>
          <w:sz w:val="20"/>
          <w:szCs w:val="20"/>
          <w:u w:val="single"/>
          <w:lang w:val="pt-BR"/>
        </w:rPr>
        <w:t>o da competitividade</w:t>
      </w:r>
      <w:r w:rsidR="00837748">
        <w:rPr>
          <w:rFonts w:ascii="Arial" w:eastAsiaTheme="minorHAnsi" w:hAnsi="Arial" w:cs="Arial"/>
          <w:sz w:val="20"/>
          <w:szCs w:val="20"/>
          <w:lang w:val="pt-BR"/>
        </w:rPr>
        <w:t xml:space="preserve">, com isso, </w:t>
      </w:r>
      <w:r w:rsidR="00A160FF">
        <w:rPr>
          <w:rFonts w:ascii="Arial" w:eastAsiaTheme="minorHAnsi" w:hAnsi="Arial" w:cs="Arial"/>
          <w:b/>
          <w:sz w:val="20"/>
          <w:szCs w:val="20"/>
          <w:lang w:val="pt-BR"/>
        </w:rPr>
        <w:t xml:space="preserve">afastando </w:t>
      </w:r>
      <w:r w:rsidR="00837748" w:rsidRPr="003725C2">
        <w:rPr>
          <w:rFonts w:ascii="Arial" w:eastAsiaTheme="minorHAnsi" w:hAnsi="Arial" w:cs="Arial"/>
          <w:b/>
          <w:sz w:val="20"/>
          <w:szCs w:val="20"/>
          <w:lang w:val="pt-BR"/>
        </w:rPr>
        <w:t>empresas</w:t>
      </w:r>
      <w:r w:rsidR="00837748">
        <w:rPr>
          <w:rFonts w:ascii="Arial" w:eastAsiaTheme="minorHAnsi" w:hAnsi="Arial" w:cs="Arial"/>
          <w:sz w:val="20"/>
          <w:szCs w:val="20"/>
          <w:lang w:val="pt-BR"/>
        </w:rPr>
        <w:t xml:space="preserve"> desse tipo de sociedade a não participarem do certame licitatório.  </w:t>
      </w:r>
    </w:p>
    <w:p w:rsidR="009A10F9" w:rsidRDefault="009A10F9" w:rsidP="00837748">
      <w:pPr>
        <w:widowControl/>
        <w:adjustRightInd w:val="0"/>
        <w:ind w:left="851" w:right="798"/>
        <w:jc w:val="both"/>
        <w:rPr>
          <w:rFonts w:ascii="Arial" w:hAnsi="Arial" w:cs="Arial"/>
          <w:sz w:val="20"/>
          <w:szCs w:val="20"/>
        </w:rPr>
      </w:pPr>
    </w:p>
    <w:p w:rsidR="00BC4043" w:rsidRDefault="00BC4043" w:rsidP="00BC4043">
      <w:pPr>
        <w:pStyle w:val="SemEspaamento"/>
        <w:ind w:left="851" w:right="798"/>
        <w:jc w:val="both"/>
        <w:rPr>
          <w:rStyle w:val="Hyperlink"/>
        </w:rPr>
      </w:pPr>
      <w:r>
        <w:rPr>
          <w:rFonts w:ascii="Arial" w:hAnsi="Arial" w:cs="Arial"/>
          <w:sz w:val="20"/>
          <w:szCs w:val="20"/>
        </w:rPr>
        <w:t>Vale destacar</w:t>
      </w:r>
      <w:r w:rsidR="009A10F9">
        <w:rPr>
          <w:rFonts w:ascii="Arial" w:hAnsi="Arial" w:cs="Arial"/>
          <w:sz w:val="20"/>
          <w:szCs w:val="20"/>
        </w:rPr>
        <w:t xml:space="preserve">, a própria </w:t>
      </w:r>
      <w:r w:rsidR="000F45B3" w:rsidRPr="00BC4043">
        <w:rPr>
          <w:rFonts w:ascii="Arial" w:hAnsi="Arial" w:cs="Arial"/>
          <w:b/>
          <w:sz w:val="20"/>
          <w:szCs w:val="20"/>
        </w:rPr>
        <w:t xml:space="preserve">Advocacia </w:t>
      </w:r>
      <w:r w:rsidR="009A10F9" w:rsidRPr="00BC4043">
        <w:rPr>
          <w:rFonts w:ascii="Arial" w:hAnsi="Arial" w:cs="Arial"/>
          <w:b/>
          <w:sz w:val="20"/>
          <w:szCs w:val="20"/>
        </w:rPr>
        <w:t>Geral da União</w:t>
      </w:r>
      <w:r w:rsidR="009A10F9">
        <w:rPr>
          <w:rFonts w:ascii="Arial" w:hAnsi="Arial" w:cs="Arial"/>
          <w:sz w:val="20"/>
          <w:szCs w:val="20"/>
        </w:rPr>
        <w:t xml:space="preserve"> estabelece em seus</w:t>
      </w:r>
      <w:r w:rsidR="000F45B3">
        <w:rPr>
          <w:rFonts w:ascii="Arial" w:hAnsi="Arial" w:cs="Arial"/>
          <w:sz w:val="20"/>
          <w:szCs w:val="20"/>
        </w:rPr>
        <w:t xml:space="preserve"> modelos de</w:t>
      </w:r>
      <w:r w:rsidR="009A10F9">
        <w:rPr>
          <w:rFonts w:ascii="Arial" w:hAnsi="Arial" w:cs="Arial"/>
          <w:sz w:val="20"/>
          <w:szCs w:val="20"/>
        </w:rPr>
        <w:t xml:space="preserve"> editais que fica a cargo do Órgão promotor da licitação definir, no caso, enquadrar o objeto contratual como atividade potencialmen</w:t>
      </w:r>
      <w:r w:rsidR="000F45B3">
        <w:rPr>
          <w:rFonts w:ascii="Arial" w:hAnsi="Arial" w:cs="Arial"/>
          <w:sz w:val="20"/>
          <w:szCs w:val="20"/>
        </w:rPr>
        <w:t>te poluidora a fim de exigir o C</w:t>
      </w:r>
      <w:r w:rsidR="009A10F9">
        <w:rPr>
          <w:rFonts w:ascii="Arial" w:hAnsi="Arial" w:cs="Arial"/>
          <w:sz w:val="20"/>
          <w:szCs w:val="20"/>
        </w:rPr>
        <w:t xml:space="preserve">adastro </w:t>
      </w:r>
      <w:r w:rsidR="000F45B3">
        <w:rPr>
          <w:rFonts w:ascii="Arial" w:hAnsi="Arial" w:cs="Arial"/>
          <w:sz w:val="20"/>
          <w:szCs w:val="20"/>
        </w:rPr>
        <w:t xml:space="preserve">Técnico Federal (CFT), reproduzo parte da nota explicativa que consta na página 31 do modelo, </w:t>
      </w:r>
      <w:r>
        <w:rPr>
          <w:rFonts w:ascii="Arial" w:hAnsi="Arial" w:cs="Arial"/>
          <w:sz w:val="20"/>
          <w:szCs w:val="20"/>
        </w:rPr>
        <w:t>“</w:t>
      </w:r>
      <w:r w:rsidRPr="00BC4043">
        <w:rPr>
          <w:rFonts w:ascii="Arial" w:hAnsi="Arial" w:cs="Arial"/>
          <w:b/>
          <w:bCs/>
          <w:i/>
          <w:sz w:val="18"/>
          <w:szCs w:val="18"/>
        </w:rPr>
        <w:t>CTF/IBAMA</w:t>
      </w:r>
      <w:r w:rsidRPr="00BC4043">
        <w:rPr>
          <w:rFonts w:ascii="Arial" w:hAnsi="Arial" w:cs="Arial"/>
          <w:b/>
          <w:i/>
          <w:sz w:val="18"/>
          <w:szCs w:val="18"/>
        </w:rPr>
        <w:t xml:space="preserve">: </w:t>
      </w:r>
      <w:r w:rsidRPr="00BC4043">
        <w:rPr>
          <w:rFonts w:ascii="Arial" w:hAnsi="Arial" w:cs="Arial"/>
          <w:b/>
          <w:i/>
          <w:sz w:val="18"/>
          <w:szCs w:val="18"/>
          <w:u w:val="single"/>
        </w:rPr>
        <w:t>Cabe ao órgão promotor da licitação verificar o enquadramento do objeto contratual como Atividade Potencialmente Poluidora a fim de exigir o Cadastro Técnico Federal (CTF</w:t>
      </w:r>
      <w:r w:rsidRPr="00BC4043">
        <w:rPr>
          <w:rFonts w:ascii="Arial" w:hAnsi="Arial" w:cs="Arial"/>
          <w:b/>
          <w:i/>
          <w:sz w:val="18"/>
          <w:szCs w:val="18"/>
        </w:rPr>
        <w:t xml:space="preserve">), nos termos do Anexo VIII da Lei 6.983/81 e do Anexo I da Instrução Normativa n. 06/2013-IBAMA, ou de norma específica (art. 2º, IN 6/2013). Para as hipóteses de serviço de engenharia, </w:t>
      </w:r>
      <w:r w:rsidRPr="00BC4043">
        <w:rPr>
          <w:rFonts w:ascii="Arial" w:hAnsi="Arial" w:cs="Arial"/>
          <w:b/>
          <w:i/>
          <w:sz w:val="18"/>
          <w:szCs w:val="18"/>
          <w:u w:val="single"/>
        </w:rPr>
        <w:t>a recente Instrução Normativa nº 11, de 13/04/2018, do IBAMA, recontextualizou as exigências relativas à inscrição</w:t>
      </w:r>
      <w:r w:rsidRPr="00BC4043">
        <w:rPr>
          <w:rFonts w:ascii="Arial" w:hAnsi="Arial" w:cs="Arial"/>
          <w:b/>
          <w:i/>
          <w:sz w:val="18"/>
          <w:szCs w:val="18"/>
        </w:rPr>
        <w:t>. Na redação original do Anexo I da IN nº 06/2013, a categoria 22 – Obras Civis trazia a subcategoria genérica “22-8 Outras construções”, pressupondo o enquadramento das atividades comuns de construção civil.</w:t>
      </w:r>
      <w:r w:rsidRPr="005653E2">
        <w:t xml:space="preserve"> </w:t>
      </w:r>
      <w:r>
        <w:t>(Grifo nosso). S</w:t>
      </w:r>
      <w:r w:rsidR="000F45B3">
        <w:rPr>
          <w:rFonts w:ascii="Arial" w:hAnsi="Arial" w:cs="Arial"/>
          <w:sz w:val="20"/>
          <w:szCs w:val="20"/>
        </w:rPr>
        <w:t xml:space="preserve">egue link : </w:t>
      </w:r>
      <w:hyperlink r:id="rId15" w:history="1">
        <w:r w:rsidRPr="00414F34">
          <w:rPr>
            <w:rStyle w:val="Hyperlink"/>
          </w:rPr>
          <w:t>https://www.gov.br/agu/pt-br/composicao/consultoria-geral-da-uniao-1/modelos-de-convenios-licitacoes-e-contratos/modelos-de-licitacoes-e-contratos/servicos-comuns-de-engenharia-pregao-eletronico</w:t>
        </w:r>
      </w:hyperlink>
      <w:r>
        <w:rPr>
          <w:rStyle w:val="Hyperlink"/>
        </w:rPr>
        <w:t>.</w:t>
      </w:r>
    </w:p>
    <w:p w:rsidR="00BC4043" w:rsidRDefault="00BC4043" w:rsidP="00BC4043">
      <w:pPr>
        <w:pStyle w:val="SemEspaamento"/>
        <w:ind w:left="851" w:right="798"/>
        <w:jc w:val="both"/>
        <w:rPr>
          <w:rStyle w:val="Hyperlink"/>
        </w:rPr>
      </w:pPr>
    </w:p>
    <w:p w:rsidR="00BC4043" w:rsidRDefault="00BC4043" w:rsidP="009C6690">
      <w:pPr>
        <w:pStyle w:val="SemEspaamento"/>
        <w:ind w:left="851" w:right="798"/>
        <w:jc w:val="both"/>
        <w:rPr>
          <w:rFonts w:ascii="Arial" w:hAnsi="Arial" w:cs="Arial"/>
          <w:sz w:val="20"/>
          <w:szCs w:val="20"/>
        </w:rPr>
      </w:pPr>
      <w:r w:rsidRPr="00BC4043">
        <w:rPr>
          <w:rFonts w:ascii="Arial" w:hAnsi="Arial" w:cs="Arial"/>
          <w:sz w:val="20"/>
          <w:szCs w:val="20"/>
        </w:rPr>
        <w:t>A AGU</w:t>
      </w:r>
      <w:r>
        <w:rPr>
          <w:rFonts w:ascii="Arial" w:hAnsi="Arial" w:cs="Arial"/>
          <w:sz w:val="20"/>
          <w:szCs w:val="20"/>
        </w:rPr>
        <w:t xml:space="preserve"> também disponibiliza o seu Guia Nacional de Contratações Sustentáveis – 3ª. Edição – abril/2020 que também corrobora nesse mesmo sentido. </w:t>
      </w:r>
      <w:r w:rsidR="00763C9F">
        <w:rPr>
          <w:rFonts w:ascii="Arial" w:hAnsi="Arial" w:cs="Arial"/>
          <w:sz w:val="20"/>
          <w:szCs w:val="20"/>
        </w:rPr>
        <w:t>Segue o mesmo link acima.</w:t>
      </w:r>
    </w:p>
    <w:p w:rsidR="009C6690" w:rsidRPr="00BC4043" w:rsidRDefault="009C6690" w:rsidP="009C6690">
      <w:pPr>
        <w:pStyle w:val="SemEspaamento"/>
        <w:ind w:left="851" w:right="798"/>
        <w:jc w:val="both"/>
        <w:rPr>
          <w:rFonts w:ascii="Arial" w:hAnsi="Arial" w:cs="Arial"/>
          <w:sz w:val="20"/>
          <w:szCs w:val="20"/>
        </w:rPr>
      </w:pPr>
    </w:p>
    <w:p w:rsidR="00AD56C0" w:rsidRDefault="001013A0" w:rsidP="00BC4043">
      <w:pPr>
        <w:widowControl/>
        <w:adjustRightInd w:val="0"/>
        <w:ind w:left="851" w:right="798"/>
        <w:jc w:val="both"/>
        <w:rPr>
          <w:rFonts w:ascii="Arial" w:hAnsi="Arial" w:cs="Arial"/>
          <w:sz w:val="20"/>
          <w:szCs w:val="20"/>
        </w:rPr>
      </w:pPr>
      <w:r>
        <w:rPr>
          <w:rFonts w:ascii="Arial" w:hAnsi="Arial" w:cs="Arial"/>
          <w:sz w:val="20"/>
          <w:szCs w:val="20"/>
        </w:rPr>
        <w:t xml:space="preserve">Trazendo à baila o </w:t>
      </w:r>
      <w:r w:rsidRPr="00AD56C0">
        <w:rPr>
          <w:rFonts w:ascii="Arial" w:hAnsi="Arial" w:cs="Arial"/>
          <w:b/>
          <w:sz w:val="20"/>
          <w:szCs w:val="20"/>
        </w:rPr>
        <w:t>Parecer da AGU n.º 13/2014 que a própria empresa impugnante citou por diversas vezes no seu documento</w:t>
      </w:r>
      <w:r w:rsidR="00763C9F">
        <w:rPr>
          <w:rFonts w:ascii="Arial" w:hAnsi="Arial" w:cs="Arial"/>
          <w:b/>
          <w:sz w:val="20"/>
          <w:szCs w:val="20"/>
        </w:rPr>
        <w:t xml:space="preserve"> de impugnação</w:t>
      </w:r>
      <w:r>
        <w:rPr>
          <w:rFonts w:ascii="Arial" w:hAnsi="Arial" w:cs="Arial"/>
          <w:sz w:val="20"/>
          <w:szCs w:val="20"/>
        </w:rPr>
        <w:t>, esclareço que o Parecer desse Órgão não é vinculante e conforme já mencionado acima</w:t>
      </w:r>
      <w:r w:rsidR="00AD56C0">
        <w:rPr>
          <w:rFonts w:ascii="Arial" w:hAnsi="Arial" w:cs="Arial"/>
          <w:sz w:val="20"/>
          <w:szCs w:val="20"/>
        </w:rPr>
        <w:t>, a própria AGU em seus modelos editalícios</w:t>
      </w:r>
      <w:r w:rsidR="00763C9F">
        <w:rPr>
          <w:rFonts w:ascii="Arial" w:hAnsi="Arial" w:cs="Arial"/>
          <w:sz w:val="20"/>
          <w:szCs w:val="20"/>
        </w:rPr>
        <w:t>, orienta e</w:t>
      </w:r>
      <w:r w:rsidR="00AD56C0">
        <w:rPr>
          <w:rFonts w:ascii="Arial" w:hAnsi="Arial" w:cs="Arial"/>
          <w:sz w:val="20"/>
          <w:szCs w:val="20"/>
        </w:rPr>
        <w:t xml:space="preserve"> estabelece que o ó</w:t>
      </w:r>
      <w:r>
        <w:rPr>
          <w:rFonts w:ascii="Arial" w:hAnsi="Arial" w:cs="Arial"/>
          <w:sz w:val="20"/>
          <w:szCs w:val="20"/>
        </w:rPr>
        <w:t xml:space="preserve">rgão promotor da licitação é que deve decidir </w:t>
      </w:r>
      <w:r w:rsidR="00AD56C0">
        <w:rPr>
          <w:rFonts w:ascii="Arial" w:hAnsi="Arial" w:cs="Arial"/>
          <w:sz w:val="20"/>
          <w:szCs w:val="20"/>
        </w:rPr>
        <w:t>se o objeto contratual está abarcado ou não como uma atividade potencialmente poluidora.</w:t>
      </w:r>
    </w:p>
    <w:p w:rsidR="00AD56C0" w:rsidRDefault="00AD56C0" w:rsidP="00BC4043">
      <w:pPr>
        <w:widowControl/>
        <w:adjustRightInd w:val="0"/>
        <w:ind w:left="851" w:right="798"/>
        <w:jc w:val="both"/>
        <w:rPr>
          <w:rFonts w:ascii="Arial" w:hAnsi="Arial" w:cs="Arial"/>
          <w:sz w:val="20"/>
          <w:szCs w:val="20"/>
        </w:rPr>
      </w:pPr>
    </w:p>
    <w:p w:rsidR="00AD56C0" w:rsidRPr="001C60BB" w:rsidRDefault="00AD56C0" w:rsidP="001C60BB">
      <w:pPr>
        <w:widowControl/>
        <w:adjustRightInd w:val="0"/>
        <w:ind w:left="851" w:right="798"/>
        <w:jc w:val="both"/>
        <w:rPr>
          <w:rFonts w:ascii="Arial" w:eastAsiaTheme="minorHAnsi" w:hAnsi="Arial" w:cs="Arial"/>
          <w:i/>
          <w:sz w:val="18"/>
          <w:szCs w:val="18"/>
          <w:lang w:val="pt-BR"/>
        </w:rPr>
      </w:pPr>
      <w:r>
        <w:rPr>
          <w:rFonts w:ascii="Arial" w:hAnsi="Arial" w:cs="Arial"/>
          <w:sz w:val="20"/>
          <w:szCs w:val="20"/>
        </w:rPr>
        <w:t>Discorrendo um pouco mais nessa esteira do Parecer, vejamos a página 25 do documento na parte final, “</w:t>
      </w:r>
      <w:r w:rsidRPr="00AD56C0">
        <w:rPr>
          <w:rFonts w:ascii="Arial" w:hAnsi="Arial" w:cs="Arial"/>
          <w:b/>
          <w:i/>
          <w:sz w:val="18"/>
          <w:szCs w:val="18"/>
        </w:rPr>
        <w:t>IV – CONCLUSÃO</w:t>
      </w:r>
      <w:r>
        <w:rPr>
          <w:rFonts w:ascii="Arial" w:hAnsi="Arial" w:cs="Arial"/>
          <w:sz w:val="20"/>
          <w:szCs w:val="20"/>
        </w:rPr>
        <w:t xml:space="preserve">”. </w:t>
      </w:r>
      <w:r w:rsidRPr="001C60BB">
        <w:rPr>
          <w:rFonts w:ascii="Arial" w:hAnsi="Arial" w:cs="Arial"/>
          <w:i/>
          <w:sz w:val="18"/>
          <w:szCs w:val="18"/>
        </w:rPr>
        <w:t>a)</w:t>
      </w:r>
      <w:r w:rsidRPr="001C60BB">
        <w:rPr>
          <w:rFonts w:ascii="Arial" w:eastAsiaTheme="minorHAnsi" w:hAnsi="Arial" w:cs="Arial"/>
          <w:i/>
          <w:sz w:val="18"/>
          <w:szCs w:val="18"/>
          <w:lang w:val="pt-BR"/>
        </w:rPr>
        <w:t xml:space="preserve"> Os critérios e práticas de sustentabilidade serão exigidos por</w:t>
      </w:r>
    </w:p>
    <w:p w:rsidR="001C60BB" w:rsidRDefault="00AD56C0" w:rsidP="001C60BB">
      <w:pPr>
        <w:widowControl/>
        <w:adjustRightInd w:val="0"/>
        <w:ind w:left="851" w:right="798"/>
        <w:jc w:val="both"/>
        <w:rPr>
          <w:rFonts w:ascii="Arial" w:eastAsiaTheme="minorHAnsi" w:hAnsi="Arial" w:cs="Arial"/>
          <w:b/>
          <w:i/>
          <w:sz w:val="18"/>
          <w:szCs w:val="18"/>
          <w:lang w:val="pt-BR"/>
        </w:rPr>
      </w:pPr>
      <w:r w:rsidRPr="001C60BB">
        <w:rPr>
          <w:rFonts w:ascii="Arial" w:eastAsiaTheme="minorHAnsi" w:hAnsi="Arial" w:cs="Arial"/>
          <w:i/>
          <w:sz w:val="18"/>
          <w:szCs w:val="18"/>
          <w:lang w:val="pt-BR"/>
        </w:rPr>
        <w:t>vezes como especificação técnica do objeto (...),</w:t>
      </w:r>
      <w:r w:rsidRPr="000E0197">
        <w:rPr>
          <w:rFonts w:ascii="Arial" w:eastAsiaTheme="minorHAnsi" w:hAnsi="Arial" w:cs="Arial"/>
          <w:b/>
          <w:i/>
          <w:sz w:val="18"/>
          <w:szCs w:val="18"/>
          <w:u w:val="single"/>
          <w:lang w:val="pt-BR"/>
        </w:rPr>
        <w:t>devendo ter como princípio a preservação do</w:t>
      </w:r>
      <w:r w:rsidR="001C60BB" w:rsidRPr="000E0197">
        <w:rPr>
          <w:rFonts w:ascii="Arial" w:eastAsiaTheme="minorHAnsi" w:hAnsi="Arial" w:cs="Arial"/>
          <w:b/>
          <w:i/>
          <w:sz w:val="18"/>
          <w:szCs w:val="18"/>
          <w:u w:val="single"/>
          <w:lang w:val="pt-BR"/>
        </w:rPr>
        <w:t xml:space="preserve"> </w:t>
      </w:r>
      <w:r w:rsidRPr="000E0197">
        <w:rPr>
          <w:rFonts w:ascii="Arial" w:eastAsiaTheme="minorHAnsi" w:hAnsi="Arial" w:cs="Arial"/>
          <w:b/>
          <w:i/>
          <w:sz w:val="18"/>
          <w:szCs w:val="18"/>
          <w:u w:val="single"/>
          <w:lang w:val="pt-BR"/>
        </w:rPr>
        <w:t>caráter competitivo do certame</w:t>
      </w:r>
      <w:r w:rsidRPr="001C60BB">
        <w:rPr>
          <w:rFonts w:ascii="Arial" w:eastAsiaTheme="minorHAnsi" w:hAnsi="Arial" w:cs="Arial"/>
          <w:i/>
          <w:sz w:val="18"/>
          <w:szCs w:val="18"/>
          <w:lang w:val="pt-BR"/>
        </w:rPr>
        <w:t>;</w:t>
      </w:r>
      <w:r w:rsidR="001C60BB" w:rsidRPr="001C60BB">
        <w:rPr>
          <w:rFonts w:ascii="Arial" w:eastAsiaTheme="minorHAnsi" w:hAnsi="Arial" w:cs="Arial"/>
          <w:i/>
          <w:sz w:val="18"/>
          <w:szCs w:val="18"/>
          <w:lang w:val="pt-BR"/>
        </w:rPr>
        <w:t xml:space="preserve"> b) Não se pode confundir critérios de aceitabilidade da proposta</w:t>
      </w:r>
      <w:r w:rsidR="001C60BB">
        <w:rPr>
          <w:rFonts w:ascii="Arial" w:eastAsiaTheme="minorHAnsi" w:hAnsi="Arial" w:cs="Arial"/>
          <w:i/>
          <w:sz w:val="18"/>
          <w:szCs w:val="18"/>
          <w:lang w:val="pt-BR"/>
        </w:rPr>
        <w:t xml:space="preserve"> </w:t>
      </w:r>
      <w:r w:rsidR="001C60BB" w:rsidRPr="001C60BB">
        <w:rPr>
          <w:rFonts w:ascii="Arial" w:eastAsiaTheme="minorHAnsi" w:hAnsi="Arial" w:cs="Arial"/>
          <w:i/>
          <w:sz w:val="18"/>
          <w:szCs w:val="18"/>
          <w:lang w:val="pt-BR"/>
        </w:rPr>
        <w:t>(critérios e práticas de sustentabilidade exigidos como especificação</w:t>
      </w:r>
      <w:r w:rsidR="001C60BB">
        <w:rPr>
          <w:rFonts w:ascii="Arial" w:eastAsiaTheme="minorHAnsi" w:hAnsi="Arial" w:cs="Arial"/>
          <w:i/>
          <w:sz w:val="18"/>
          <w:szCs w:val="18"/>
          <w:lang w:val="pt-BR"/>
        </w:rPr>
        <w:t xml:space="preserve"> </w:t>
      </w:r>
      <w:r w:rsidR="001C60BB" w:rsidRPr="001C60BB">
        <w:rPr>
          <w:rFonts w:ascii="Arial" w:eastAsiaTheme="minorHAnsi" w:hAnsi="Arial" w:cs="Arial"/>
          <w:i/>
          <w:sz w:val="18"/>
          <w:szCs w:val="18"/>
          <w:lang w:val="pt-BR"/>
        </w:rPr>
        <w:t>técnica do objeto ou como obrigação da contratada) com requisitos de</w:t>
      </w:r>
      <w:r w:rsidR="001C60BB">
        <w:rPr>
          <w:rFonts w:ascii="Arial" w:eastAsiaTheme="minorHAnsi" w:hAnsi="Arial" w:cs="Arial"/>
          <w:i/>
          <w:sz w:val="18"/>
          <w:szCs w:val="18"/>
          <w:lang w:val="pt-BR"/>
        </w:rPr>
        <w:t xml:space="preserve"> </w:t>
      </w:r>
      <w:r w:rsidR="001C60BB" w:rsidRPr="001C60BB">
        <w:rPr>
          <w:rFonts w:ascii="Arial" w:eastAsiaTheme="minorHAnsi" w:hAnsi="Arial" w:cs="Arial"/>
          <w:i/>
          <w:sz w:val="18"/>
          <w:szCs w:val="18"/>
          <w:lang w:val="pt-BR"/>
        </w:rPr>
        <w:t>habilitação; c.1</w:t>
      </w:r>
      <w:r w:rsidR="001C60BB" w:rsidRPr="000E0197">
        <w:rPr>
          <w:rFonts w:ascii="Arial" w:eastAsiaTheme="minorHAnsi" w:hAnsi="Arial" w:cs="Arial"/>
          <w:b/>
          <w:i/>
          <w:sz w:val="18"/>
          <w:szCs w:val="18"/>
          <w:u w:val="single"/>
          <w:lang w:val="pt-BR"/>
        </w:rPr>
        <w:t>) Será exigido como critério de aceitabilidade da proposta quando for exigido registro no Cadastro Técnico Federal - CTF do fabricante do produto a ser adquirido ou utilizado na prestação de serviço contratado pela Administração e quem participa da licitação não é o fabricante em si, mas sim revendedores, distribuidores, comerciantes em geral ou prestadores de serviços que se utilizam desses produtos os quais, por não desempenharem diretamente atividades poluidoras ou utilizadoras de recursos ambientais, não são obrigados a registrar-se no Cadastro Técnico Federal – CFT do IBAMA</w:t>
      </w:r>
      <w:r w:rsidR="001C60BB" w:rsidRPr="001C60BB">
        <w:rPr>
          <w:rFonts w:ascii="Arial" w:eastAsiaTheme="minorHAnsi" w:hAnsi="Arial" w:cs="Arial"/>
          <w:i/>
          <w:sz w:val="18"/>
          <w:szCs w:val="18"/>
          <w:lang w:val="pt-BR"/>
        </w:rPr>
        <w:t xml:space="preserve">. c.2) </w:t>
      </w:r>
      <w:r w:rsidR="001C60BB" w:rsidRPr="000E0197">
        <w:rPr>
          <w:rFonts w:ascii="Arial" w:eastAsiaTheme="minorHAnsi" w:hAnsi="Arial" w:cs="Arial"/>
          <w:b/>
          <w:i/>
          <w:sz w:val="18"/>
          <w:szCs w:val="18"/>
          <w:lang w:val="pt-BR"/>
        </w:rPr>
        <w:t>Será exigido como requisito de habilitação quando o licitante desempenha diretamente as atividades poluidoras ou utilizadoras de recursos ambientais, de modo que deverá obrigatoriamente estar registrado no Cadastro Técnico Federal - CTF do IBAMA”</w:t>
      </w:r>
      <w:r w:rsidR="000E0197">
        <w:rPr>
          <w:rFonts w:ascii="Arial" w:eastAsiaTheme="minorHAnsi" w:hAnsi="Arial" w:cs="Arial"/>
          <w:b/>
          <w:i/>
          <w:sz w:val="18"/>
          <w:szCs w:val="18"/>
          <w:lang w:val="pt-BR"/>
        </w:rPr>
        <w:t xml:space="preserve"> (grifo nosso).</w:t>
      </w:r>
    </w:p>
    <w:p w:rsidR="000E0197" w:rsidRDefault="000E0197" w:rsidP="001C60BB">
      <w:pPr>
        <w:widowControl/>
        <w:adjustRightInd w:val="0"/>
        <w:ind w:left="851" w:right="798"/>
        <w:jc w:val="both"/>
        <w:rPr>
          <w:rFonts w:ascii="Arial" w:eastAsiaTheme="minorHAnsi" w:hAnsi="Arial" w:cs="Arial"/>
          <w:b/>
          <w:i/>
          <w:sz w:val="18"/>
          <w:szCs w:val="18"/>
          <w:lang w:val="pt-BR"/>
        </w:rPr>
      </w:pPr>
    </w:p>
    <w:p w:rsidR="00BA72D0" w:rsidRDefault="000E0197" w:rsidP="001C60BB">
      <w:pPr>
        <w:widowControl/>
        <w:adjustRightInd w:val="0"/>
        <w:ind w:left="851" w:right="798"/>
        <w:jc w:val="both"/>
        <w:rPr>
          <w:rFonts w:ascii="Arial" w:eastAsiaTheme="minorHAnsi" w:hAnsi="Arial" w:cs="Arial"/>
          <w:sz w:val="20"/>
          <w:szCs w:val="20"/>
          <w:lang w:val="pt-BR"/>
        </w:rPr>
      </w:pPr>
      <w:r>
        <w:rPr>
          <w:rFonts w:ascii="Arial" w:eastAsiaTheme="minorHAnsi" w:hAnsi="Arial" w:cs="Arial"/>
          <w:sz w:val="20"/>
          <w:szCs w:val="20"/>
          <w:lang w:val="pt-BR"/>
        </w:rPr>
        <w:t>Verifica-se portanto</w:t>
      </w:r>
      <w:r w:rsidR="0008688A">
        <w:rPr>
          <w:rFonts w:ascii="Arial" w:eastAsiaTheme="minorHAnsi" w:hAnsi="Arial" w:cs="Arial"/>
          <w:sz w:val="20"/>
          <w:szCs w:val="20"/>
          <w:lang w:val="pt-BR"/>
        </w:rPr>
        <w:t xml:space="preserve"> nessa conclusão</w:t>
      </w:r>
      <w:r w:rsidR="00D04AFE">
        <w:rPr>
          <w:rFonts w:ascii="Arial" w:eastAsiaTheme="minorHAnsi" w:hAnsi="Arial" w:cs="Arial"/>
          <w:sz w:val="20"/>
          <w:szCs w:val="20"/>
          <w:lang w:val="pt-BR"/>
        </w:rPr>
        <w:t xml:space="preserve"> da AGU</w:t>
      </w:r>
      <w:r w:rsidR="0008688A">
        <w:rPr>
          <w:rFonts w:ascii="Arial" w:eastAsiaTheme="minorHAnsi" w:hAnsi="Arial" w:cs="Arial"/>
          <w:sz w:val="20"/>
          <w:szCs w:val="20"/>
          <w:lang w:val="pt-BR"/>
        </w:rPr>
        <w:t xml:space="preserve"> que, </w:t>
      </w:r>
      <w:r>
        <w:rPr>
          <w:rFonts w:ascii="Arial" w:eastAsiaTheme="minorHAnsi" w:hAnsi="Arial" w:cs="Arial"/>
          <w:sz w:val="20"/>
          <w:szCs w:val="20"/>
          <w:lang w:val="pt-BR"/>
        </w:rPr>
        <w:t xml:space="preserve">exigir documentação além do permitido que </w:t>
      </w:r>
      <w:r w:rsidR="005F4B34">
        <w:rPr>
          <w:rFonts w:ascii="Arial" w:eastAsiaTheme="minorHAnsi" w:hAnsi="Arial" w:cs="Arial"/>
          <w:sz w:val="20"/>
          <w:szCs w:val="20"/>
          <w:lang w:val="pt-BR"/>
        </w:rPr>
        <w:t>afronta</w:t>
      </w:r>
      <w:r w:rsidR="006760C8">
        <w:rPr>
          <w:rFonts w:ascii="Arial" w:eastAsiaTheme="minorHAnsi" w:hAnsi="Arial" w:cs="Arial"/>
          <w:sz w:val="20"/>
          <w:szCs w:val="20"/>
          <w:lang w:val="pt-BR"/>
        </w:rPr>
        <w:t xml:space="preserve"> a competitividade, restringe </w:t>
      </w:r>
      <w:r w:rsidR="0008688A">
        <w:rPr>
          <w:rFonts w:ascii="Arial" w:eastAsiaTheme="minorHAnsi" w:hAnsi="Arial" w:cs="Arial"/>
          <w:sz w:val="20"/>
          <w:szCs w:val="20"/>
          <w:lang w:val="pt-BR"/>
        </w:rPr>
        <w:t xml:space="preserve">a participação de empresas, </w:t>
      </w:r>
      <w:r w:rsidR="00D04AFE">
        <w:rPr>
          <w:rFonts w:ascii="Arial" w:eastAsiaTheme="minorHAnsi" w:hAnsi="Arial" w:cs="Arial"/>
          <w:sz w:val="20"/>
          <w:szCs w:val="20"/>
          <w:lang w:val="pt-BR"/>
        </w:rPr>
        <w:t xml:space="preserve">não pode ser o objetivo a ser </w:t>
      </w:r>
      <w:r w:rsidR="00BA72D0">
        <w:rPr>
          <w:rFonts w:ascii="Arial" w:eastAsiaTheme="minorHAnsi" w:hAnsi="Arial" w:cs="Arial"/>
          <w:sz w:val="20"/>
          <w:szCs w:val="20"/>
          <w:lang w:val="pt-BR"/>
        </w:rPr>
        <w:t>pretendido</w:t>
      </w:r>
      <w:r w:rsidR="005F4B34">
        <w:rPr>
          <w:rFonts w:ascii="Arial" w:eastAsiaTheme="minorHAnsi" w:hAnsi="Arial" w:cs="Arial"/>
          <w:sz w:val="20"/>
          <w:szCs w:val="20"/>
          <w:lang w:val="pt-BR"/>
        </w:rPr>
        <w:t xml:space="preserve"> pela Administração</w:t>
      </w:r>
      <w:r w:rsidR="00D04AFE">
        <w:rPr>
          <w:rFonts w:ascii="Arial" w:eastAsiaTheme="minorHAnsi" w:hAnsi="Arial" w:cs="Arial"/>
          <w:sz w:val="20"/>
          <w:szCs w:val="20"/>
          <w:lang w:val="pt-BR"/>
        </w:rPr>
        <w:t xml:space="preserve">, o TCU em </w:t>
      </w:r>
      <w:r w:rsidR="0008688A">
        <w:rPr>
          <w:rFonts w:ascii="Arial" w:eastAsiaTheme="minorHAnsi" w:hAnsi="Arial" w:cs="Arial"/>
          <w:sz w:val="20"/>
          <w:szCs w:val="20"/>
          <w:lang w:val="pt-BR"/>
        </w:rPr>
        <w:t>vários posicionamentos, cito como exemplo, o Acórdão</w:t>
      </w:r>
      <w:r w:rsidR="002F07EF">
        <w:rPr>
          <w:rFonts w:ascii="Arial" w:eastAsiaTheme="minorHAnsi" w:hAnsi="Arial" w:cs="Arial"/>
          <w:sz w:val="20"/>
          <w:szCs w:val="20"/>
          <w:lang w:val="pt-BR"/>
        </w:rPr>
        <w:t xml:space="preserve"> n.º 3192/2016 (Relator Marcos Bemquerer)</w:t>
      </w:r>
      <w:r w:rsidR="00D04AFE">
        <w:rPr>
          <w:rFonts w:ascii="Arial" w:eastAsiaTheme="minorHAnsi" w:hAnsi="Arial" w:cs="Arial"/>
          <w:sz w:val="20"/>
          <w:szCs w:val="20"/>
          <w:lang w:val="pt-BR"/>
        </w:rPr>
        <w:t xml:space="preserve"> trata dessa questão. Outro Acórdão da Corte de Contas, reproduzo para finalizar: “</w:t>
      </w:r>
      <w:r w:rsidR="00D04AFE" w:rsidRPr="00D04AFE">
        <w:rPr>
          <w:rFonts w:ascii="Arial" w:eastAsiaTheme="minorHAnsi" w:hAnsi="Arial" w:cs="Arial"/>
          <w:i/>
          <w:iCs/>
          <w:sz w:val="18"/>
          <w:szCs w:val="18"/>
          <w:lang w:val="pt-BR"/>
        </w:rPr>
        <w:t xml:space="preserve">Rigor formal no exame das propostas dos licitantes não </w:t>
      </w:r>
      <w:r w:rsidR="00D04AFE" w:rsidRPr="00D04AFE">
        <w:rPr>
          <w:rFonts w:ascii="Arial" w:eastAsiaTheme="minorHAnsi" w:hAnsi="Arial" w:cs="Arial"/>
          <w:i/>
          <w:iCs/>
          <w:sz w:val="18"/>
          <w:szCs w:val="18"/>
          <w:lang w:val="pt-BR"/>
        </w:rPr>
        <w:lastRenderedPageBreak/>
        <w:t xml:space="preserve">pode ser exagerado ou absoluto, </w:t>
      </w:r>
      <w:r w:rsidR="00D04AFE" w:rsidRPr="007B08B1">
        <w:rPr>
          <w:rFonts w:ascii="Arial" w:eastAsiaTheme="minorHAnsi" w:hAnsi="Arial" w:cs="Arial"/>
          <w:b/>
          <w:i/>
          <w:iCs/>
          <w:sz w:val="18"/>
          <w:szCs w:val="18"/>
          <w:u w:val="single"/>
          <w:lang w:val="pt-BR"/>
        </w:rPr>
        <w:t>sob pena de desclassificação de propostas mais vantajosas</w:t>
      </w:r>
      <w:r w:rsidR="00D04AFE" w:rsidRPr="00D04AFE">
        <w:rPr>
          <w:rFonts w:ascii="Arial" w:eastAsiaTheme="minorHAnsi" w:hAnsi="Arial" w:cs="Arial"/>
          <w:i/>
          <w:iCs/>
          <w:sz w:val="18"/>
          <w:szCs w:val="18"/>
          <w:lang w:val="pt-BR"/>
        </w:rPr>
        <w:t>, devendo as simples omissões ou irregularidades na documentação ou na proposta, desde que irrelevantes e não causem prejuízos à Administração ou aos concorrentes, serem sanadas mediante diligências. (Acórdão 2302/2012-Plenário)</w:t>
      </w:r>
      <w:r w:rsidR="007B08B1">
        <w:rPr>
          <w:rFonts w:ascii="Arial" w:eastAsiaTheme="minorHAnsi" w:hAnsi="Arial" w:cs="Arial"/>
          <w:i/>
          <w:iCs/>
          <w:sz w:val="18"/>
          <w:szCs w:val="18"/>
          <w:lang w:val="pt-BR"/>
        </w:rPr>
        <w:t>”.</w:t>
      </w:r>
      <w:r w:rsidR="0008688A">
        <w:rPr>
          <w:rFonts w:ascii="Arial" w:eastAsiaTheme="minorHAnsi" w:hAnsi="Arial" w:cs="Arial"/>
          <w:sz w:val="20"/>
          <w:szCs w:val="20"/>
          <w:lang w:val="pt-BR"/>
        </w:rPr>
        <w:t xml:space="preserve"> </w:t>
      </w:r>
      <w:r w:rsidR="007B08B1">
        <w:rPr>
          <w:rFonts w:ascii="Arial" w:eastAsiaTheme="minorHAnsi" w:hAnsi="Arial" w:cs="Arial"/>
          <w:sz w:val="20"/>
          <w:szCs w:val="20"/>
          <w:lang w:val="pt-BR"/>
        </w:rPr>
        <w:t>A restrição e a falta de competitividade leva a essa situação, a Administração P</w:t>
      </w:r>
      <w:r w:rsidR="00646EF4">
        <w:rPr>
          <w:rFonts w:ascii="Arial" w:eastAsiaTheme="minorHAnsi" w:hAnsi="Arial" w:cs="Arial"/>
          <w:sz w:val="20"/>
          <w:szCs w:val="20"/>
          <w:lang w:val="pt-BR"/>
        </w:rPr>
        <w:t>ública perde com isso, pois</w:t>
      </w:r>
      <w:r w:rsidR="007B08B1">
        <w:rPr>
          <w:rFonts w:ascii="Arial" w:eastAsiaTheme="minorHAnsi" w:hAnsi="Arial" w:cs="Arial"/>
          <w:sz w:val="20"/>
          <w:szCs w:val="20"/>
          <w:lang w:val="pt-BR"/>
        </w:rPr>
        <w:t xml:space="preserve"> deixa</w:t>
      </w:r>
      <w:r w:rsidR="00646EF4">
        <w:rPr>
          <w:rFonts w:ascii="Arial" w:eastAsiaTheme="minorHAnsi" w:hAnsi="Arial" w:cs="Arial"/>
          <w:sz w:val="20"/>
          <w:szCs w:val="20"/>
          <w:lang w:val="pt-BR"/>
        </w:rPr>
        <w:t xml:space="preserve">ria </w:t>
      </w:r>
      <w:r w:rsidR="007B08B1">
        <w:rPr>
          <w:rFonts w:ascii="Arial" w:eastAsiaTheme="minorHAnsi" w:hAnsi="Arial" w:cs="Arial"/>
          <w:sz w:val="20"/>
          <w:szCs w:val="20"/>
          <w:lang w:val="pt-BR"/>
        </w:rPr>
        <w:t xml:space="preserve">de conseguir propostas </w:t>
      </w:r>
      <w:r w:rsidR="00646EF4">
        <w:rPr>
          <w:rFonts w:ascii="Arial" w:eastAsiaTheme="minorHAnsi" w:hAnsi="Arial" w:cs="Arial"/>
          <w:sz w:val="20"/>
          <w:szCs w:val="20"/>
          <w:lang w:val="pt-BR"/>
        </w:rPr>
        <w:t xml:space="preserve">mais vantajosas </w:t>
      </w:r>
      <w:r w:rsidR="007B08B1">
        <w:rPr>
          <w:rFonts w:ascii="Arial" w:eastAsiaTheme="minorHAnsi" w:hAnsi="Arial" w:cs="Arial"/>
          <w:sz w:val="20"/>
          <w:szCs w:val="20"/>
          <w:lang w:val="pt-BR"/>
        </w:rPr>
        <w:t xml:space="preserve">de outras empresas que </w:t>
      </w:r>
      <w:r w:rsidR="00646EF4">
        <w:rPr>
          <w:rFonts w:ascii="Arial" w:eastAsiaTheme="minorHAnsi" w:hAnsi="Arial" w:cs="Arial"/>
          <w:sz w:val="20"/>
          <w:szCs w:val="20"/>
          <w:lang w:val="pt-BR"/>
        </w:rPr>
        <w:t>porventura poderiam estar participando do certame</w:t>
      </w:r>
      <w:r w:rsidR="00BA72D0">
        <w:rPr>
          <w:rFonts w:ascii="Arial" w:eastAsiaTheme="minorHAnsi" w:hAnsi="Arial" w:cs="Arial"/>
          <w:sz w:val="20"/>
          <w:szCs w:val="20"/>
          <w:lang w:val="pt-BR"/>
        </w:rPr>
        <w:t>, entretanto,</w:t>
      </w:r>
      <w:r w:rsidR="00646EF4">
        <w:rPr>
          <w:rFonts w:ascii="Arial" w:eastAsiaTheme="minorHAnsi" w:hAnsi="Arial" w:cs="Arial"/>
          <w:sz w:val="20"/>
          <w:szCs w:val="20"/>
          <w:lang w:val="pt-BR"/>
        </w:rPr>
        <w:t xml:space="preserve"> pelo fato de restrições, ficariam impossibilitadas e isso o TCU é categórico e enfático no intuito de a Administração</w:t>
      </w:r>
      <w:r w:rsidR="00BA72D0">
        <w:rPr>
          <w:rFonts w:ascii="Arial" w:eastAsiaTheme="minorHAnsi" w:hAnsi="Arial" w:cs="Arial"/>
          <w:sz w:val="20"/>
          <w:szCs w:val="20"/>
          <w:lang w:val="pt-BR"/>
        </w:rPr>
        <w:t xml:space="preserve"> Pública</w:t>
      </w:r>
      <w:r w:rsidR="00646EF4">
        <w:rPr>
          <w:rFonts w:ascii="Arial" w:eastAsiaTheme="minorHAnsi" w:hAnsi="Arial" w:cs="Arial"/>
          <w:sz w:val="20"/>
          <w:szCs w:val="20"/>
          <w:lang w:val="pt-BR"/>
        </w:rPr>
        <w:t xml:space="preserve"> perseguir pela </w:t>
      </w:r>
      <w:r w:rsidR="00646EF4" w:rsidRPr="00BA72D0">
        <w:rPr>
          <w:rFonts w:ascii="Arial" w:eastAsiaTheme="minorHAnsi" w:hAnsi="Arial" w:cs="Arial"/>
          <w:b/>
          <w:sz w:val="20"/>
          <w:szCs w:val="20"/>
          <w:lang w:val="pt-BR"/>
        </w:rPr>
        <w:t>seleção da proposta mais vantajosa</w:t>
      </w:r>
      <w:r w:rsidR="00646EF4">
        <w:rPr>
          <w:rFonts w:ascii="Arial" w:eastAsiaTheme="minorHAnsi" w:hAnsi="Arial" w:cs="Arial"/>
          <w:sz w:val="20"/>
          <w:szCs w:val="20"/>
          <w:lang w:val="pt-BR"/>
        </w:rPr>
        <w:t>, que está atrelad</w:t>
      </w:r>
      <w:r w:rsidR="00BA72D0">
        <w:rPr>
          <w:rFonts w:ascii="Arial" w:eastAsiaTheme="minorHAnsi" w:hAnsi="Arial" w:cs="Arial"/>
          <w:sz w:val="20"/>
          <w:szCs w:val="20"/>
          <w:lang w:val="pt-BR"/>
        </w:rPr>
        <w:t>a</w:t>
      </w:r>
      <w:r w:rsidR="00646EF4">
        <w:rPr>
          <w:rFonts w:ascii="Arial" w:eastAsiaTheme="minorHAnsi" w:hAnsi="Arial" w:cs="Arial"/>
          <w:sz w:val="20"/>
          <w:szCs w:val="20"/>
          <w:lang w:val="pt-BR"/>
        </w:rPr>
        <w:t xml:space="preserve"> aos princípios da economicidade e eficiência. </w:t>
      </w:r>
    </w:p>
    <w:p w:rsidR="00763C9F" w:rsidRDefault="00763C9F" w:rsidP="001C60BB">
      <w:pPr>
        <w:widowControl/>
        <w:adjustRightInd w:val="0"/>
        <w:ind w:left="851" w:right="798"/>
        <w:jc w:val="both"/>
        <w:rPr>
          <w:rFonts w:ascii="Arial" w:eastAsiaTheme="minorHAnsi" w:hAnsi="Arial" w:cs="Arial"/>
          <w:sz w:val="20"/>
          <w:szCs w:val="20"/>
          <w:lang w:val="pt-BR"/>
        </w:rPr>
      </w:pPr>
    </w:p>
    <w:p w:rsidR="00763C9F" w:rsidRDefault="00763C9F" w:rsidP="00763C9F">
      <w:pPr>
        <w:pStyle w:val="Default"/>
        <w:ind w:left="851" w:right="798"/>
        <w:jc w:val="both"/>
        <w:rPr>
          <w:rFonts w:ascii="Arial" w:hAnsi="Arial" w:cs="Arial"/>
          <w:sz w:val="20"/>
          <w:szCs w:val="20"/>
        </w:rPr>
      </w:pPr>
      <w:r w:rsidRPr="00821214">
        <w:rPr>
          <w:rFonts w:ascii="Arial" w:hAnsi="Arial" w:cs="Arial"/>
          <w:sz w:val="20"/>
          <w:szCs w:val="20"/>
        </w:rPr>
        <w:t xml:space="preserve">Vale ressaltar, </w:t>
      </w:r>
      <w:r>
        <w:rPr>
          <w:rFonts w:ascii="Arial" w:hAnsi="Arial" w:cs="Arial"/>
          <w:sz w:val="20"/>
          <w:szCs w:val="20"/>
        </w:rPr>
        <w:t>que a licitação presente</w:t>
      </w:r>
      <w:r w:rsidRPr="00821214">
        <w:rPr>
          <w:rFonts w:ascii="Arial" w:hAnsi="Arial" w:cs="Arial"/>
          <w:sz w:val="20"/>
          <w:szCs w:val="20"/>
        </w:rPr>
        <w:t xml:space="preserve"> não </w:t>
      </w:r>
      <w:r>
        <w:rPr>
          <w:rFonts w:ascii="Arial" w:hAnsi="Arial" w:cs="Arial"/>
          <w:sz w:val="20"/>
          <w:szCs w:val="20"/>
        </w:rPr>
        <w:t>objetiva</w:t>
      </w:r>
      <w:r w:rsidRPr="00821214">
        <w:rPr>
          <w:rFonts w:ascii="Arial" w:hAnsi="Arial" w:cs="Arial"/>
          <w:sz w:val="20"/>
          <w:szCs w:val="20"/>
        </w:rPr>
        <w:t xml:space="preserve"> contratar empresa que exerça atividade</w:t>
      </w:r>
      <w:r>
        <w:rPr>
          <w:rFonts w:ascii="Arial" w:hAnsi="Arial" w:cs="Arial"/>
          <w:sz w:val="20"/>
          <w:szCs w:val="20"/>
        </w:rPr>
        <w:t xml:space="preserve"> </w:t>
      </w:r>
      <w:r w:rsidRPr="00821214">
        <w:rPr>
          <w:rFonts w:ascii="Arial" w:hAnsi="Arial" w:cs="Arial"/>
          <w:sz w:val="20"/>
          <w:szCs w:val="20"/>
        </w:rPr>
        <w:t xml:space="preserve">potencialmente poluidora, </w:t>
      </w:r>
      <w:r>
        <w:rPr>
          <w:rFonts w:ascii="Arial" w:hAnsi="Arial" w:cs="Arial"/>
          <w:sz w:val="20"/>
          <w:szCs w:val="20"/>
        </w:rPr>
        <w:t>todos os itens que serão licitados nesse certame</w:t>
      </w:r>
      <w:r w:rsidRPr="00821214">
        <w:rPr>
          <w:rFonts w:ascii="Arial" w:hAnsi="Arial" w:cs="Arial"/>
          <w:sz w:val="20"/>
          <w:szCs w:val="20"/>
        </w:rPr>
        <w:t xml:space="preserve">, necessariamente </w:t>
      </w:r>
      <w:r>
        <w:rPr>
          <w:rFonts w:ascii="Arial" w:hAnsi="Arial" w:cs="Arial"/>
          <w:sz w:val="20"/>
          <w:szCs w:val="20"/>
        </w:rPr>
        <w:t>são bens de aquisição para uso e destinação final.</w:t>
      </w:r>
      <w:r w:rsidRPr="00821214">
        <w:rPr>
          <w:rFonts w:ascii="Arial" w:hAnsi="Arial" w:cs="Arial"/>
          <w:sz w:val="20"/>
          <w:szCs w:val="20"/>
        </w:rPr>
        <w:t xml:space="preserve"> </w:t>
      </w:r>
    </w:p>
    <w:p w:rsidR="00763C9F" w:rsidRDefault="00763C9F" w:rsidP="001C60BB">
      <w:pPr>
        <w:widowControl/>
        <w:adjustRightInd w:val="0"/>
        <w:ind w:left="851" w:right="798"/>
        <w:jc w:val="both"/>
        <w:rPr>
          <w:rFonts w:ascii="Arial" w:eastAsiaTheme="minorHAnsi" w:hAnsi="Arial" w:cs="Arial"/>
          <w:sz w:val="20"/>
          <w:szCs w:val="20"/>
          <w:lang w:val="pt-BR"/>
        </w:rPr>
      </w:pPr>
    </w:p>
    <w:p w:rsidR="00BA72D0" w:rsidRDefault="00BA72D0" w:rsidP="00BA72D0">
      <w:pPr>
        <w:ind w:left="851" w:right="798"/>
        <w:jc w:val="both"/>
        <w:rPr>
          <w:rFonts w:ascii="Arial" w:hAnsi="Arial" w:cs="Arial"/>
          <w:color w:val="000000"/>
          <w:sz w:val="21"/>
          <w:szCs w:val="21"/>
          <w:shd w:val="clear" w:color="auto" w:fill="FFFFFF"/>
        </w:rPr>
      </w:pPr>
      <w:r w:rsidRPr="00A64770">
        <w:rPr>
          <w:rFonts w:ascii="Arial" w:hAnsi="Arial" w:cs="Arial"/>
          <w:sz w:val="20"/>
          <w:szCs w:val="20"/>
          <w:lang w:val="pt-BR"/>
        </w:rPr>
        <w:t>Por fim, coloco o link do site do Ibama que trata das o</w:t>
      </w:r>
      <w:hyperlink r:id="rId16" w:history="1">
        <w:r w:rsidRPr="00A64770">
          <w:rPr>
            <w:rFonts w:ascii="Arial" w:hAnsi="Arial" w:cs="Arial"/>
            <w:sz w:val="20"/>
            <w:szCs w:val="20"/>
            <w:lang w:val="pt-BR"/>
          </w:rPr>
          <w:t>rientações sobre a obrigatoriedade do CTF/APP para participação em licitações públicas</w:t>
        </w:r>
      </w:hyperlink>
      <w:r w:rsidR="00C815ED" w:rsidRPr="00A64770">
        <w:rPr>
          <w:rFonts w:ascii="Arial" w:hAnsi="Arial" w:cs="Arial"/>
          <w:sz w:val="20"/>
          <w:szCs w:val="20"/>
          <w:lang w:val="pt-BR"/>
        </w:rPr>
        <w:t xml:space="preserve">: </w:t>
      </w:r>
      <w:hyperlink r:id="rId17" w:history="1">
        <w:r w:rsidR="00C815ED" w:rsidRPr="00A64770">
          <w:rPr>
            <w:rStyle w:val="Hyperlink"/>
            <w:rFonts w:ascii="Arial" w:hAnsi="Arial" w:cs="Arial"/>
            <w:sz w:val="20"/>
            <w:szCs w:val="20"/>
            <w:lang w:val="pt-BR"/>
          </w:rPr>
          <w:t>https://www.ibama.gov.br/notas/1785-orientacoes-sobre-a-obrigatoriedade-do-ctf-app-para-participacao-em-licitacoes-publicas</w:t>
        </w:r>
      </w:hyperlink>
      <w:r w:rsidR="00C815ED" w:rsidRPr="00A64770">
        <w:rPr>
          <w:rFonts w:ascii="Arial" w:hAnsi="Arial" w:cs="Arial"/>
          <w:sz w:val="20"/>
          <w:szCs w:val="20"/>
          <w:lang w:val="pt-BR"/>
        </w:rPr>
        <w:t xml:space="preserve">. </w:t>
      </w:r>
      <w:r w:rsidR="005F4B34">
        <w:rPr>
          <w:rFonts w:ascii="Arial" w:hAnsi="Arial" w:cs="Arial"/>
          <w:sz w:val="20"/>
          <w:szCs w:val="20"/>
          <w:lang w:val="pt-BR"/>
        </w:rPr>
        <w:t xml:space="preserve">O próprio órgão orienta e alerta </w:t>
      </w:r>
      <w:r w:rsidR="00C815ED" w:rsidRPr="00A64770">
        <w:rPr>
          <w:rFonts w:ascii="Arial" w:hAnsi="Arial" w:cs="Arial"/>
          <w:sz w:val="20"/>
          <w:szCs w:val="20"/>
          <w:lang w:val="pt-BR"/>
        </w:rPr>
        <w:t>sobre imposições indevidas</w:t>
      </w:r>
      <w:r w:rsidR="00A64770" w:rsidRPr="00A64770">
        <w:rPr>
          <w:rFonts w:ascii="Arial" w:hAnsi="Arial" w:cs="Arial"/>
          <w:sz w:val="20"/>
          <w:szCs w:val="20"/>
          <w:lang w:val="pt-BR"/>
        </w:rPr>
        <w:t xml:space="preserve">, </w:t>
      </w:r>
      <w:r w:rsidR="00A64770" w:rsidRPr="00A64770">
        <w:rPr>
          <w:rFonts w:ascii="Arial" w:hAnsi="Arial" w:cs="Arial"/>
          <w:color w:val="000000"/>
          <w:sz w:val="20"/>
          <w:szCs w:val="20"/>
          <w:shd w:val="clear" w:color="auto" w:fill="FFFFFF"/>
        </w:rPr>
        <w:t>não previstas, que sejam incorporadas ao processo licitatório. Além das fichas técnicas atualizadas sobre o enquadramento das empresas de ser ou não de atividade potencialmente poluidoras</w:t>
      </w:r>
      <w:r w:rsidR="005F4B34">
        <w:rPr>
          <w:rFonts w:ascii="Arial" w:hAnsi="Arial" w:cs="Arial"/>
          <w:color w:val="000000"/>
          <w:sz w:val="21"/>
          <w:szCs w:val="21"/>
          <w:shd w:val="clear" w:color="auto" w:fill="FFFFFF"/>
        </w:rPr>
        <w:t xml:space="preserve"> que fazem parte também dessas orientações.</w:t>
      </w:r>
    </w:p>
    <w:p w:rsidR="000E0197" w:rsidRPr="000E0197" w:rsidRDefault="000E0197" w:rsidP="00BA72D0">
      <w:pPr>
        <w:rPr>
          <w:lang w:val="pt-BR"/>
        </w:rPr>
      </w:pPr>
    </w:p>
    <w:p w:rsidR="00C574CF" w:rsidRDefault="00E83B3B" w:rsidP="00C574CF">
      <w:pPr>
        <w:widowControl/>
        <w:adjustRightInd w:val="0"/>
        <w:ind w:left="851" w:right="798"/>
        <w:jc w:val="both"/>
        <w:rPr>
          <w:rFonts w:ascii="Arial" w:hAnsi="Arial" w:cs="Arial"/>
          <w:i/>
          <w:sz w:val="18"/>
          <w:szCs w:val="18"/>
        </w:rPr>
      </w:pPr>
      <w:r w:rsidRPr="00E83B3B">
        <w:rPr>
          <w:rFonts w:ascii="Arial" w:hAnsi="Arial" w:cs="Arial"/>
          <w:b/>
          <w:sz w:val="20"/>
          <w:szCs w:val="20"/>
        </w:rPr>
        <w:t>Resposta 5</w:t>
      </w:r>
      <w:r>
        <w:rPr>
          <w:rFonts w:ascii="Arial" w:hAnsi="Arial" w:cs="Arial"/>
          <w:sz w:val="20"/>
          <w:szCs w:val="20"/>
        </w:rPr>
        <w:t xml:space="preserve">: Para esse questionamento da empresa impugnante sobre a exigência de atestado de capacidade técnica para </w:t>
      </w:r>
      <w:r w:rsidRPr="00C574CF">
        <w:rPr>
          <w:rFonts w:ascii="Arial" w:hAnsi="Arial" w:cs="Arial"/>
          <w:sz w:val="20"/>
          <w:szCs w:val="20"/>
          <w:u w:val="single"/>
        </w:rPr>
        <w:t>assegurar a qualidade do pro</w:t>
      </w:r>
      <w:r w:rsidR="00C574CF" w:rsidRPr="00C574CF">
        <w:rPr>
          <w:rFonts w:ascii="Arial" w:hAnsi="Arial" w:cs="Arial"/>
          <w:sz w:val="20"/>
          <w:szCs w:val="20"/>
          <w:u w:val="single"/>
        </w:rPr>
        <w:t>duto</w:t>
      </w:r>
      <w:r w:rsidR="00C574CF">
        <w:rPr>
          <w:rFonts w:ascii="Arial" w:hAnsi="Arial" w:cs="Arial"/>
          <w:sz w:val="20"/>
          <w:szCs w:val="20"/>
        </w:rPr>
        <w:t xml:space="preserve">, destaco o que consta no §1.º do art. 32 da Lei n.º 8.666/1993, segue: </w:t>
      </w:r>
      <w:r w:rsidR="00C574CF" w:rsidRPr="00C574CF">
        <w:rPr>
          <w:rFonts w:ascii="Arial" w:hAnsi="Arial" w:cs="Arial"/>
          <w:i/>
          <w:sz w:val="18"/>
          <w:szCs w:val="18"/>
        </w:rPr>
        <w:t>“</w:t>
      </w:r>
      <w:r w:rsidR="00C574CF" w:rsidRPr="00C574CF">
        <w:rPr>
          <w:rFonts w:ascii="Arial" w:hAnsi="Arial" w:cs="Arial"/>
          <w:i/>
          <w:color w:val="000000"/>
          <w:sz w:val="18"/>
          <w:szCs w:val="18"/>
          <w:shd w:val="clear" w:color="auto" w:fill="FFFFFF"/>
        </w:rPr>
        <w:t xml:space="preserve">A documentação de que tratam os arts. 28 a 31 desta Lei </w:t>
      </w:r>
      <w:r w:rsidR="00C574CF" w:rsidRPr="00C574CF">
        <w:rPr>
          <w:rFonts w:ascii="Arial" w:hAnsi="Arial" w:cs="Arial"/>
          <w:b/>
          <w:i/>
          <w:color w:val="000000"/>
          <w:sz w:val="18"/>
          <w:szCs w:val="18"/>
          <w:shd w:val="clear" w:color="auto" w:fill="FFFFFF"/>
        </w:rPr>
        <w:t>poderá ser dispensada, no todo ou em parte, nos casos de convite, concurso, fornecimento de bens para pronta</w:t>
      </w:r>
      <w:r w:rsidR="00C574CF" w:rsidRPr="00C574CF">
        <w:rPr>
          <w:rFonts w:ascii="Arial" w:hAnsi="Arial" w:cs="Arial"/>
          <w:i/>
          <w:color w:val="000000"/>
          <w:sz w:val="18"/>
          <w:szCs w:val="18"/>
          <w:shd w:val="clear" w:color="auto" w:fill="FFFFFF"/>
        </w:rPr>
        <w:t xml:space="preserve"> entrega e leilão.</w:t>
      </w:r>
      <w:r w:rsidR="00C574CF">
        <w:rPr>
          <w:rFonts w:ascii="Arial" w:hAnsi="Arial" w:cs="Arial"/>
          <w:i/>
          <w:sz w:val="18"/>
          <w:szCs w:val="18"/>
          <w:shd w:val="clear" w:color="auto" w:fill="FFFFFF"/>
        </w:rPr>
        <w:t xml:space="preserve"> (grifo nosso). </w:t>
      </w:r>
      <w:r w:rsidR="00C574CF" w:rsidRPr="00C574CF">
        <w:rPr>
          <w:rFonts w:ascii="Arial" w:hAnsi="Arial" w:cs="Arial"/>
          <w:sz w:val="20"/>
          <w:szCs w:val="20"/>
          <w:shd w:val="clear" w:color="auto" w:fill="FFFFFF"/>
        </w:rPr>
        <w:t>O art. 40, no seu §4.º menciona também essa faculdade, vejamos</w:t>
      </w:r>
      <w:r w:rsidR="00C574CF">
        <w:rPr>
          <w:rFonts w:ascii="Arial" w:hAnsi="Arial" w:cs="Arial"/>
          <w:i/>
          <w:sz w:val="18"/>
          <w:szCs w:val="18"/>
          <w:shd w:val="clear" w:color="auto" w:fill="FFFFFF"/>
        </w:rPr>
        <w:t>: “</w:t>
      </w:r>
      <w:r w:rsidR="00C574CF" w:rsidRPr="00C574CF">
        <w:rPr>
          <w:rFonts w:ascii="Arial" w:hAnsi="Arial" w:cs="Arial"/>
          <w:i/>
          <w:color w:val="000000"/>
          <w:sz w:val="18"/>
          <w:szCs w:val="18"/>
          <w:shd w:val="clear" w:color="auto" w:fill="FFFFFF"/>
        </w:rPr>
        <w:t xml:space="preserve">O edital conterá no preâmbulo o número de ordem em série anual, o nome da repartição interessada e de seu setor, a modalidade, o regime de execução e o tipo da licitação, a menção de que será regida por esta Lei, o local, dia e hora para recebimento da documentação e proposta, bem como para início da abertura dos envelopes, e indicará, obrigatoriamente, o seguinte:” </w:t>
      </w:r>
      <w:r w:rsidR="00AD3844">
        <w:rPr>
          <w:rFonts w:ascii="Arial" w:hAnsi="Arial" w:cs="Arial"/>
          <w:color w:val="000000"/>
          <w:sz w:val="20"/>
          <w:szCs w:val="20"/>
          <w:shd w:val="clear" w:color="auto" w:fill="FFFFFF"/>
        </w:rPr>
        <w:t>E s</w:t>
      </w:r>
      <w:r w:rsidR="00C574CF" w:rsidRPr="00C574CF">
        <w:rPr>
          <w:rFonts w:ascii="Arial" w:hAnsi="Arial" w:cs="Arial"/>
          <w:color w:val="000000"/>
          <w:sz w:val="20"/>
          <w:szCs w:val="20"/>
          <w:shd w:val="clear" w:color="auto" w:fill="FFFFFF"/>
        </w:rPr>
        <w:t>egue</w:t>
      </w:r>
      <w:r w:rsidR="00C574CF" w:rsidRPr="00C574CF">
        <w:rPr>
          <w:rFonts w:ascii="Arial" w:hAnsi="Arial" w:cs="Arial"/>
          <w:i/>
          <w:color w:val="000000"/>
          <w:sz w:val="18"/>
          <w:szCs w:val="18"/>
          <w:shd w:val="clear" w:color="auto" w:fill="FFFFFF"/>
        </w:rPr>
        <w:t xml:space="preserve">: “Nas compras para entrega imediata, assim entendidas aquelas com prazo de entrega até trinta dias da data prevista para apresentação da proposta, </w:t>
      </w:r>
      <w:r w:rsidR="00C574CF" w:rsidRPr="008C3351">
        <w:rPr>
          <w:rFonts w:ascii="Arial" w:hAnsi="Arial" w:cs="Arial"/>
          <w:b/>
          <w:i/>
          <w:color w:val="000000"/>
          <w:sz w:val="18"/>
          <w:szCs w:val="18"/>
          <w:shd w:val="clear" w:color="auto" w:fill="FFFFFF"/>
        </w:rPr>
        <w:t>poderão ser dispensadas</w:t>
      </w:r>
      <w:r w:rsidR="00C574CF" w:rsidRPr="00C574CF">
        <w:rPr>
          <w:rFonts w:ascii="Arial" w:hAnsi="Arial" w:cs="Arial"/>
          <w:i/>
          <w:color w:val="000000"/>
          <w:sz w:val="18"/>
          <w:szCs w:val="18"/>
          <w:shd w:val="clear" w:color="auto" w:fill="FFFFFF"/>
        </w:rPr>
        <w:t>:</w:t>
      </w:r>
      <w:hyperlink r:id="rId18" w:anchor="art1" w:history="1">
        <w:r w:rsidR="00C574CF" w:rsidRPr="00C574CF">
          <w:rPr>
            <w:rStyle w:val="Hyperlink"/>
            <w:rFonts w:ascii="Arial" w:hAnsi="Arial" w:cs="Arial"/>
            <w:i/>
            <w:sz w:val="18"/>
            <w:szCs w:val="18"/>
            <w:shd w:val="clear" w:color="auto" w:fill="FFFFFF"/>
          </w:rPr>
          <w:t>(Incluído pela Lei nº 8.883, de 1994)</w:t>
        </w:r>
      </w:hyperlink>
      <w:r w:rsidR="009C37D3">
        <w:rPr>
          <w:rFonts w:ascii="Arial" w:hAnsi="Arial" w:cs="Arial"/>
          <w:i/>
          <w:sz w:val="18"/>
          <w:szCs w:val="18"/>
        </w:rPr>
        <w:t>.</w:t>
      </w:r>
      <w:r w:rsidR="008C3351">
        <w:rPr>
          <w:rFonts w:ascii="Arial" w:hAnsi="Arial" w:cs="Arial"/>
          <w:i/>
          <w:sz w:val="18"/>
          <w:szCs w:val="18"/>
        </w:rPr>
        <w:t>(grifo nosso)</w:t>
      </w:r>
    </w:p>
    <w:p w:rsidR="009C37D3" w:rsidRPr="00C574CF" w:rsidRDefault="009C37D3" w:rsidP="00C574CF">
      <w:pPr>
        <w:widowControl/>
        <w:adjustRightInd w:val="0"/>
        <w:ind w:left="851" w:right="798"/>
        <w:jc w:val="both"/>
        <w:rPr>
          <w:rFonts w:ascii="Arial" w:hAnsi="Arial" w:cs="Arial"/>
          <w:i/>
          <w:sz w:val="18"/>
          <w:szCs w:val="18"/>
          <w:shd w:val="clear" w:color="auto" w:fill="FFFFFF"/>
        </w:rPr>
      </w:pPr>
    </w:p>
    <w:p w:rsidR="00C574CF" w:rsidRPr="00C574CF" w:rsidRDefault="00C574CF" w:rsidP="00C574CF">
      <w:pPr>
        <w:widowControl/>
        <w:adjustRightInd w:val="0"/>
        <w:ind w:left="851" w:right="798"/>
        <w:jc w:val="both"/>
        <w:rPr>
          <w:rFonts w:ascii="Arial" w:hAnsi="Arial" w:cs="Arial"/>
          <w:i/>
          <w:sz w:val="18"/>
          <w:szCs w:val="18"/>
          <w:shd w:val="clear" w:color="auto" w:fill="FFFFFF"/>
        </w:rPr>
      </w:pPr>
      <w:r w:rsidRPr="009C37D3">
        <w:rPr>
          <w:rFonts w:ascii="Arial" w:hAnsi="Arial" w:cs="Arial"/>
          <w:sz w:val="20"/>
          <w:szCs w:val="20"/>
          <w:shd w:val="clear" w:color="auto" w:fill="FFFFFF"/>
        </w:rPr>
        <w:t>Além do mais, conforme consta no Termo de Referência, subitem 9.11, letra a</w:t>
      </w:r>
      <w:r>
        <w:rPr>
          <w:rFonts w:ascii="Arial" w:hAnsi="Arial" w:cs="Arial"/>
          <w:i/>
          <w:sz w:val="18"/>
          <w:szCs w:val="18"/>
          <w:shd w:val="clear" w:color="auto" w:fill="FFFFFF"/>
        </w:rPr>
        <w:t>, “</w:t>
      </w:r>
      <w:r w:rsidRPr="00C574CF">
        <w:rPr>
          <w:rFonts w:ascii="Arial" w:eastAsiaTheme="minorHAnsi" w:hAnsi="Arial" w:cs="Arial"/>
          <w:i/>
          <w:sz w:val="18"/>
          <w:szCs w:val="18"/>
          <w:lang w:val="pt-BR"/>
        </w:rPr>
        <w:t>Não será exigida capacitação técnica para o objeto</w:t>
      </w:r>
      <w:r w:rsidRPr="009C37D3">
        <w:rPr>
          <w:rFonts w:ascii="Arial" w:eastAsiaTheme="minorHAnsi" w:hAnsi="Arial" w:cs="Arial"/>
          <w:i/>
          <w:sz w:val="18"/>
          <w:szCs w:val="18"/>
          <w:u w:val="single"/>
          <w:lang w:val="pt-BR"/>
        </w:rPr>
        <w:t>, considerando sua complexidade de execução</w:t>
      </w:r>
      <w:r>
        <w:rPr>
          <w:rFonts w:ascii="Arial" w:hAnsi="Arial" w:cs="Arial"/>
          <w:i/>
          <w:sz w:val="18"/>
          <w:szCs w:val="18"/>
          <w:shd w:val="clear" w:color="auto" w:fill="FFFFFF"/>
        </w:rPr>
        <w:t>”.</w:t>
      </w:r>
    </w:p>
    <w:p w:rsidR="00821214" w:rsidRPr="00C574CF" w:rsidRDefault="00E83B3B" w:rsidP="00C574CF">
      <w:pPr>
        <w:pStyle w:val="Default"/>
        <w:ind w:left="851" w:right="798"/>
        <w:jc w:val="both"/>
        <w:rPr>
          <w:rFonts w:ascii="Arial" w:hAnsi="Arial" w:cs="Arial"/>
          <w:i/>
          <w:sz w:val="18"/>
          <w:szCs w:val="18"/>
        </w:rPr>
      </w:pPr>
      <w:r w:rsidRPr="00C574CF">
        <w:rPr>
          <w:rFonts w:ascii="Arial" w:hAnsi="Arial" w:cs="Arial"/>
          <w:i/>
          <w:sz w:val="18"/>
          <w:szCs w:val="18"/>
        </w:rPr>
        <w:t xml:space="preserve"> </w:t>
      </w:r>
    </w:p>
    <w:p w:rsidR="00AD56C0" w:rsidRDefault="009C37D3" w:rsidP="00821214">
      <w:pPr>
        <w:widowControl/>
        <w:adjustRightInd w:val="0"/>
        <w:ind w:left="851" w:right="798"/>
        <w:jc w:val="both"/>
        <w:rPr>
          <w:rFonts w:ascii="Arial" w:hAnsi="Arial" w:cs="Arial"/>
          <w:i/>
          <w:color w:val="000000"/>
          <w:sz w:val="18"/>
          <w:szCs w:val="18"/>
          <w:shd w:val="clear" w:color="auto" w:fill="FFFFFF"/>
        </w:rPr>
      </w:pPr>
      <w:r>
        <w:rPr>
          <w:rFonts w:ascii="Arial" w:hAnsi="Arial" w:cs="Arial"/>
          <w:sz w:val="20"/>
          <w:szCs w:val="20"/>
        </w:rPr>
        <w:t xml:space="preserve">Para encerrar sobre essa questão, cito um Acórdão do TCU n.º 1677/2014 – Plenário, </w:t>
      </w:r>
      <w:r w:rsidR="00866B41">
        <w:rPr>
          <w:rFonts w:ascii="Arial" w:hAnsi="Arial" w:cs="Arial"/>
          <w:sz w:val="20"/>
          <w:szCs w:val="20"/>
        </w:rPr>
        <w:t xml:space="preserve">onde </w:t>
      </w:r>
      <w:r>
        <w:rPr>
          <w:rFonts w:ascii="Arial" w:hAnsi="Arial" w:cs="Arial"/>
          <w:sz w:val="20"/>
          <w:szCs w:val="20"/>
        </w:rPr>
        <w:t xml:space="preserve">é preciso em </w:t>
      </w:r>
      <w:r w:rsidR="00866B41">
        <w:rPr>
          <w:rFonts w:ascii="Arial" w:hAnsi="Arial" w:cs="Arial"/>
          <w:sz w:val="20"/>
          <w:szCs w:val="20"/>
        </w:rPr>
        <w:t xml:space="preserve">afirmar que </w:t>
      </w:r>
      <w:r w:rsidR="00866B41" w:rsidRPr="00D6231E">
        <w:rPr>
          <w:rFonts w:ascii="Arial" w:hAnsi="Arial" w:cs="Arial"/>
          <w:b/>
          <w:sz w:val="20"/>
          <w:szCs w:val="20"/>
        </w:rPr>
        <w:t>atestado de capacidade técnica</w:t>
      </w:r>
      <w:r w:rsidR="00866B41">
        <w:rPr>
          <w:rFonts w:ascii="Arial" w:hAnsi="Arial" w:cs="Arial"/>
          <w:sz w:val="20"/>
          <w:szCs w:val="20"/>
        </w:rPr>
        <w:t xml:space="preserve"> </w:t>
      </w:r>
      <w:r w:rsidR="00866B41" w:rsidRPr="00D6231E">
        <w:rPr>
          <w:rFonts w:ascii="Arial" w:hAnsi="Arial" w:cs="Arial"/>
          <w:b/>
          <w:sz w:val="20"/>
          <w:szCs w:val="20"/>
          <w:u w:val="single"/>
        </w:rPr>
        <w:t>não serve</w:t>
      </w:r>
      <w:r w:rsidR="00866B41" w:rsidRPr="00866B41">
        <w:rPr>
          <w:rFonts w:ascii="Arial" w:hAnsi="Arial" w:cs="Arial"/>
          <w:b/>
          <w:sz w:val="20"/>
          <w:szCs w:val="20"/>
        </w:rPr>
        <w:t xml:space="preserve"> para assegurar qualidade de produto</w:t>
      </w:r>
      <w:r w:rsidR="00866B41">
        <w:rPr>
          <w:rFonts w:ascii="Arial" w:hAnsi="Arial" w:cs="Arial"/>
          <w:sz w:val="20"/>
          <w:szCs w:val="20"/>
        </w:rPr>
        <w:t xml:space="preserve"> e sim a capacidade da empresa de entregar o objeto, vejamos um trecho da anotação do Relator, Ministro Augusto Sherman , reproduzo: </w:t>
      </w:r>
      <w:r w:rsidR="00866B41" w:rsidRPr="00866B41">
        <w:rPr>
          <w:rFonts w:ascii="Arial" w:hAnsi="Arial" w:cs="Arial"/>
          <w:i/>
          <w:color w:val="000000"/>
          <w:sz w:val="18"/>
          <w:szCs w:val="18"/>
          <w:shd w:val="clear" w:color="auto" w:fill="FFFFFF"/>
        </w:rPr>
        <w:t xml:space="preserve">“(...)Analisando o ponto, após as oitivas regimentais, o relator anotou que a etapa de habilitação tem por objetivo "garantir que a empresa a ser contratada tenha capacidade de entregar o objeto licitado", </w:t>
      </w:r>
      <w:r w:rsidR="00866B41" w:rsidRPr="00866B41">
        <w:rPr>
          <w:rFonts w:ascii="Arial" w:hAnsi="Arial" w:cs="Arial"/>
          <w:b/>
          <w:i/>
          <w:color w:val="000000"/>
          <w:sz w:val="18"/>
          <w:szCs w:val="18"/>
          <w:shd w:val="clear" w:color="auto" w:fill="FFFFFF"/>
        </w:rPr>
        <w:t>razão pela qual os requisitos ali exigidos dizem respeito "à qualidade da licitante, e não do objeto a ser ofertado</w:t>
      </w:r>
      <w:r w:rsidR="00866B41" w:rsidRPr="00866B41">
        <w:rPr>
          <w:rFonts w:ascii="Arial" w:hAnsi="Arial" w:cs="Arial"/>
          <w:i/>
          <w:color w:val="000000"/>
          <w:sz w:val="18"/>
          <w:szCs w:val="18"/>
          <w:shd w:val="clear" w:color="auto" w:fill="FFFFFF"/>
        </w:rPr>
        <w:t xml:space="preserve">". </w:t>
      </w:r>
      <w:r w:rsidR="00866B41" w:rsidRPr="00866B41">
        <w:rPr>
          <w:rFonts w:ascii="Arial" w:hAnsi="Arial" w:cs="Arial"/>
          <w:b/>
          <w:i/>
          <w:color w:val="000000"/>
          <w:sz w:val="18"/>
          <w:szCs w:val="18"/>
          <w:shd w:val="clear" w:color="auto" w:fill="FFFFFF"/>
        </w:rPr>
        <w:t>Por essa razão, "nenhum dos documentos elencados pela lei refere-se à qualidade do produto ofertado, mas sim à empresa que pretende fornecê-lo</w:t>
      </w:r>
      <w:r w:rsidR="00866B41" w:rsidRPr="00866B41">
        <w:rPr>
          <w:rFonts w:ascii="Arial" w:hAnsi="Arial" w:cs="Arial"/>
          <w:i/>
          <w:color w:val="000000"/>
          <w:sz w:val="18"/>
          <w:szCs w:val="18"/>
          <w:shd w:val="clear" w:color="auto" w:fill="FFFFFF"/>
        </w:rPr>
        <w:t xml:space="preserve">". </w:t>
      </w:r>
      <w:r w:rsidR="00866B41" w:rsidRPr="00FB73E9">
        <w:rPr>
          <w:rFonts w:ascii="Arial" w:hAnsi="Arial" w:cs="Arial"/>
          <w:b/>
          <w:i/>
          <w:color w:val="000000"/>
          <w:sz w:val="18"/>
          <w:szCs w:val="18"/>
          <w:shd w:val="clear" w:color="auto" w:fill="FFFFFF"/>
        </w:rPr>
        <w:t>Nesse sentido, segue o relator, a etapa de habilitação "não é a adequada para que se comprove a robustez do produto a ser entregue (...) a demonstração do atendimento do objeto aos termos editalícios deve ser feita na etapa de classificação, não na de habilitação</w:t>
      </w:r>
      <w:r w:rsidR="00866B41" w:rsidRPr="00866B41">
        <w:rPr>
          <w:rFonts w:ascii="Arial" w:hAnsi="Arial" w:cs="Arial"/>
          <w:i/>
          <w:color w:val="000000"/>
          <w:sz w:val="18"/>
          <w:szCs w:val="18"/>
          <w:shd w:val="clear" w:color="auto" w:fill="FFFFFF"/>
        </w:rPr>
        <w:t>". Nada obstante, considerou o relator que, desde que justificada e motivada, a exigência de laudos técnicos como critério de aferição da qualidade do objeto licitado "não se configuraria como restrição indevida da competitividade"</w:t>
      </w:r>
      <w:r w:rsidRPr="00866B41">
        <w:rPr>
          <w:rFonts w:ascii="Arial" w:hAnsi="Arial" w:cs="Arial"/>
          <w:i/>
          <w:color w:val="000000"/>
          <w:sz w:val="18"/>
          <w:szCs w:val="18"/>
          <w:shd w:val="clear" w:color="auto" w:fill="FFFFFF"/>
        </w:rPr>
        <w:t xml:space="preserve"> </w:t>
      </w:r>
      <w:r w:rsidR="00FB73E9">
        <w:rPr>
          <w:rFonts w:ascii="Arial" w:hAnsi="Arial" w:cs="Arial"/>
          <w:i/>
          <w:color w:val="000000"/>
          <w:sz w:val="18"/>
          <w:szCs w:val="18"/>
          <w:shd w:val="clear" w:color="auto" w:fill="FFFFFF"/>
        </w:rPr>
        <w:t>(grifo nosso).</w:t>
      </w:r>
    </w:p>
    <w:p w:rsidR="000F45B3" w:rsidRDefault="001013A0" w:rsidP="00BC4043">
      <w:pPr>
        <w:widowControl/>
        <w:adjustRightInd w:val="0"/>
        <w:ind w:left="851" w:right="798"/>
        <w:jc w:val="both"/>
        <w:rPr>
          <w:rFonts w:ascii="Arial" w:hAnsi="Arial" w:cs="Arial"/>
          <w:sz w:val="20"/>
          <w:szCs w:val="20"/>
        </w:rPr>
      </w:pPr>
      <w:r w:rsidRPr="000E0197">
        <w:rPr>
          <w:rFonts w:ascii="Arial" w:hAnsi="Arial" w:cs="Arial"/>
          <w:sz w:val="20"/>
          <w:szCs w:val="20"/>
        </w:rPr>
        <w:t xml:space="preserve">  </w:t>
      </w:r>
    </w:p>
    <w:p w:rsidR="00D6231E" w:rsidRDefault="00D6231E" w:rsidP="00BC4043">
      <w:pPr>
        <w:widowControl/>
        <w:adjustRightInd w:val="0"/>
        <w:ind w:left="851" w:right="798"/>
        <w:jc w:val="both"/>
        <w:rPr>
          <w:rFonts w:ascii="Arial" w:hAnsi="Arial" w:cs="Arial"/>
          <w:sz w:val="20"/>
          <w:szCs w:val="20"/>
        </w:rPr>
      </w:pPr>
      <w:r w:rsidRPr="00D6231E">
        <w:rPr>
          <w:rFonts w:ascii="Arial" w:hAnsi="Arial" w:cs="Arial"/>
          <w:b/>
          <w:sz w:val="20"/>
          <w:szCs w:val="20"/>
        </w:rPr>
        <w:t>Resposta 6:</w:t>
      </w:r>
      <w:r>
        <w:rPr>
          <w:rFonts w:ascii="Arial" w:hAnsi="Arial" w:cs="Arial"/>
          <w:b/>
          <w:sz w:val="20"/>
          <w:szCs w:val="20"/>
        </w:rPr>
        <w:t xml:space="preserve"> </w:t>
      </w:r>
      <w:r w:rsidRPr="00D6231E">
        <w:rPr>
          <w:rFonts w:ascii="Arial" w:hAnsi="Arial" w:cs="Arial"/>
          <w:sz w:val="20"/>
          <w:szCs w:val="20"/>
        </w:rPr>
        <w:t>A empresa impugnante requer</w:t>
      </w:r>
      <w:r w:rsidRPr="00D6231E">
        <w:rPr>
          <w:rFonts w:ascii="Arial" w:hAnsi="Arial" w:cs="Arial"/>
          <w:b/>
          <w:sz w:val="20"/>
          <w:szCs w:val="20"/>
        </w:rPr>
        <w:t xml:space="preserve">, </w:t>
      </w:r>
      <w:r w:rsidRPr="00D6231E">
        <w:rPr>
          <w:rFonts w:ascii="Arial" w:hAnsi="Arial" w:cs="Arial"/>
          <w:sz w:val="20"/>
          <w:szCs w:val="20"/>
        </w:rPr>
        <w:t xml:space="preserve">a republicação das previsões editalícias, escoimadas dos vícios apontados, reabrindo-se o prazo inicialmente previsto, conforme </w:t>
      </w:r>
      <w:r w:rsidRPr="00D6231E">
        <w:rPr>
          <w:rFonts w:ascii="Arial" w:hAnsi="Arial" w:cs="Arial"/>
          <w:iCs/>
          <w:sz w:val="20"/>
          <w:szCs w:val="20"/>
        </w:rPr>
        <w:t xml:space="preserve">§ </w:t>
      </w:r>
      <w:r w:rsidRPr="00D6231E">
        <w:rPr>
          <w:rFonts w:ascii="Arial" w:hAnsi="Arial" w:cs="Arial"/>
          <w:sz w:val="20"/>
          <w:szCs w:val="20"/>
        </w:rPr>
        <w:t>4°, do art. 21, da Lei nº 8666/93.</w:t>
      </w:r>
      <w:r>
        <w:rPr>
          <w:rFonts w:ascii="Arial" w:hAnsi="Arial" w:cs="Arial"/>
          <w:sz w:val="20"/>
          <w:szCs w:val="20"/>
        </w:rPr>
        <w:t xml:space="preserve"> A resposta a esse questio</w:t>
      </w:r>
      <w:r w:rsidR="008C3351">
        <w:rPr>
          <w:rFonts w:ascii="Arial" w:hAnsi="Arial" w:cs="Arial"/>
          <w:sz w:val="20"/>
          <w:szCs w:val="20"/>
        </w:rPr>
        <w:t xml:space="preserve">namento também estará no </w:t>
      </w:r>
      <w:r w:rsidR="008C3351" w:rsidRPr="00080D66">
        <w:rPr>
          <w:rFonts w:ascii="Arial" w:hAnsi="Arial" w:cs="Arial"/>
          <w:b/>
          <w:sz w:val="20"/>
          <w:szCs w:val="20"/>
        </w:rPr>
        <w:t>item 4 – Da Decisão do Pregoeiro</w:t>
      </w:r>
      <w:r>
        <w:rPr>
          <w:rFonts w:ascii="Arial" w:hAnsi="Arial" w:cs="Arial"/>
          <w:sz w:val="20"/>
          <w:szCs w:val="20"/>
        </w:rPr>
        <w:t>.</w:t>
      </w:r>
    </w:p>
    <w:p w:rsidR="00D6231E" w:rsidRDefault="00D6231E" w:rsidP="00BC4043">
      <w:pPr>
        <w:widowControl/>
        <w:adjustRightInd w:val="0"/>
        <w:ind w:left="851" w:right="798"/>
        <w:jc w:val="both"/>
        <w:rPr>
          <w:rFonts w:ascii="Arial" w:hAnsi="Arial" w:cs="Arial"/>
          <w:b/>
          <w:sz w:val="20"/>
          <w:szCs w:val="20"/>
        </w:rPr>
      </w:pPr>
    </w:p>
    <w:p w:rsidR="00D6231E" w:rsidRDefault="00D6231E" w:rsidP="00BC4043">
      <w:pPr>
        <w:widowControl/>
        <w:adjustRightInd w:val="0"/>
        <w:ind w:left="851" w:right="798"/>
        <w:jc w:val="both"/>
        <w:rPr>
          <w:rFonts w:ascii="Arial" w:hAnsi="Arial" w:cs="Arial"/>
          <w:sz w:val="20"/>
          <w:szCs w:val="20"/>
        </w:rPr>
      </w:pPr>
      <w:r>
        <w:rPr>
          <w:rFonts w:ascii="Arial" w:hAnsi="Arial" w:cs="Arial"/>
          <w:b/>
          <w:sz w:val="20"/>
          <w:szCs w:val="20"/>
        </w:rPr>
        <w:t xml:space="preserve">Resposta 7: </w:t>
      </w:r>
      <w:r w:rsidRPr="00333ED9">
        <w:rPr>
          <w:rFonts w:ascii="Arial" w:hAnsi="Arial" w:cs="Arial"/>
          <w:sz w:val="20"/>
          <w:szCs w:val="20"/>
        </w:rPr>
        <w:t>A empresa impugnante requer por fim que</w:t>
      </w:r>
      <w:r w:rsidR="00333ED9">
        <w:rPr>
          <w:rFonts w:ascii="Arial" w:hAnsi="Arial" w:cs="Arial"/>
          <w:sz w:val="20"/>
          <w:szCs w:val="20"/>
        </w:rPr>
        <w:t>,</w:t>
      </w:r>
      <w:r w:rsidRPr="00333ED9">
        <w:rPr>
          <w:rFonts w:ascii="Arial" w:hAnsi="Arial" w:cs="Arial"/>
          <w:sz w:val="20"/>
          <w:szCs w:val="20"/>
        </w:rPr>
        <w:t xml:space="preserve"> no</w:t>
      </w:r>
      <w:r w:rsidRPr="00D6231E">
        <w:rPr>
          <w:rFonts w:ascii="Arial" w:hAnsi="Arial" w:cs="Arial"/>
          <w:b/>
          <w:sz w:val="20"/>
          <w:szCs w:val="20"/>
        </w:rPr>
        <w:t xml:space="preserve"> </w:t>
      </w:r>
      <w:r w:rsidRPr="00D6231E">
        <w:rPr>
          <w:rFonts w:ascii="Arial" w:hAnsi="Arial" w:cs="Arial"/>
          <w:sz w:val="20"/>
          <w:szCs w:val="20"/>
        </w:rPr>
        <w:t>caso de indeferimento da presente peça, o que se levanta a título meramente argumentativo, seja a mesma remetida à autoridade hierárquica imediatamente superior, para que tome ciência do assunto aqui tratado e emita seu parecer</w:t>
      </w:r>
      <w:r w:rsidR="00333ED9">
        <w:rPr>
          <w:rFonts w:ascii="Arial" w:hAnsi="Arial" w:cs="Arial"/>
          <w:sz w:val="20"/>
          <w:szCs w:val="20"/>
        </w:rPr>
        <w:t>.</w:t>
      </w:r>
    </w:p>
    <w:p w:rsidR="00333ED9" w:rsidRDefault="00333ED9" w:rsidP="00BC4043">
      <w:pPr>
        <w:widowControl/>
        <w:adjustRightInd w:val="0"/>
        <w:ind w:left="851" w:right="798"/>
        <w:jc w:val="both"/>
        <w:rPr>
          <w:rFonts w:ascii="Arial" w:hAnsi="Arial" w:cs="Arial"/>
          <w:b/>
          <w:sz w:val="20"/>
          <w:szCs w:val="20"/>
        </w:rPr>
      </w:pPr>
    </w:p>
    <w:p w:rsidR="00333ED9" w:rsidRDefault="00333ED9" w:rsidP="00BC4043">
      <w:pPr>
        <w:widowControl/>
        <w:adjustRightInd w:val="0"/>
        <w:ind w:left="851" w:right="798"/>
        <w:jc w:val="both"/>
        <w:rPr>
          <w:rFonts w:ascii="Arial" w:hAnsi="Arial" w:cs="Arial"/>
          <w:sz w:val="20"/>
          <w:szCs w:val="20"/>
        </w:rPr>
      </w:pPr>
      <w:r w:rsidRPr="00714AAD">
        <w:rPr>
          <w:rFonts w:ascii="Arial" w:hAnsi="Arial" w:cs="Arial"/>
          <w:sz w:val="20"/>
          <w:szCs w:val="20"/>
        </w:rPr>
        <w:t xml:space="preserve">Destaco </w:t>
      </w:r>
      <w:r w:rsidR="00714AAD" w:rsidRPr="00714AAD">
        <w:rPr>
          <w:rFonts w:ascii="Arial" w:hAnsi="Arial" w:cs="Arial"/>
          <w:sz w:val="20"/>
          <w:szCs w:val="20"/>
        </w:rPr>
        <w:t xml:space="preserve">o que consta no Decreto n.º 10.024/2019 no tocante as atribuições do pregoeiro e da autoridade superior competente. </w:t>
      </w:r>
    </w:p>
    <w:p w:rsidR="00714AAD" w:rsidRPr="00714AAD" w:rsidRDefault="00714AAD" w:rsidP="00BC4043">
      <w:pPr>
        <w:widowControl/>
        <w:adjustRightInd w:val="0"/>
        <w:ind w:left="851" w:right="798"/>
        <w:jc w:val="both"/>
        <w:rPr>
          <w:rFonts w:ascii="Arial" w:hAnsi="Arial" w:cs="Arial"/>
          <w:sz w:val="20"/>
          <w:szCs w:val="20"/>
        </w:rPr>
      </w:pPr>
    </w:p>
    <w:p w:rsidR="00714AAD" w:rsidRDefault="00714AAD" w:rsidP="00BC4043">
      <w:pPr>
        <w:widowControl/>
        <w:adjustRightInd w:val="0"/>
        <w:ind w:left="851" w:right="798"/>
        <w:jc w:val="both"/>
        <w:rPr>
          <w:rFonts w:ascii="Arial" w:hAnsi="Arial" w:cs="Arial"/>
          <w:color w:val="000000"/>
          <w:sz w:val="20"/>
          <w:szCs w:val="20"/>
        </w:rPr>
      </w:pPr>
      <w:r w:rsidRPr="00714AAD">
        <w:rPr>
          <w:rFonts w:ascii="Arial" w:hAnsi="Arial" w:cs="Arial"/>
          <w:sz w:val="20"/>
          <w:szCs w:val="20"/>
        </w:rPr>
        <w:t xml:space="preserve">Do Pregoeiro - Art. 17 Caput </w:t>
      </w:r>
      <w:r>
        <w:rPr>
          <w:rFonts w:ascii="Arial" w:hAnsi="Arial" w:cs="Arial"/>
          <w:sz w:val="20"/>
          <w:szCs w:val="20"/>
        </w:rPr>
        <w:t xml:space="preserve">e incisos </w:t>
      </w:r>
      <w:r w:rsidRPr="00714AAD">
        <w:rPr>
          <w:rFonts w:ascii="Arial" w:hAnsi="Arial" w:cs="Arial"/>
          <w:sz w:val="20"/>
          <w:szCs w:val="20"/>
        </w:rPr>
        <w:t>do Decreto</w:t>
      </w:r>
      <w:r>
        <w:rPr>
          <w:rFonts w:ascii="Arial" w:hAnsi="Arial" w:cs="Arial"/>
          <w:b/>
          <w:sz w:val="20"/>
          <w:szCs w:val="20"/>
        </w:rPr>
        <w:t>: “</w:t>
      </w:r>
      <w:r w:rsidRPr="00464AD0">
        <w:rPr>
          <w:rFonts w:ascii="Arial" w:hAnsi="Arial" w:cs="Arial"/>
          <w:b/>
          <w:i/>
          <w:color w:val="000000"/>
          <w:sz w:val="18"/>
          <w:szCs w:val="18"/>
        </w:rPr>
        <w:t>Caberá ao pregoeiro</w:t>
      </w:r>
      <w:r w:rsidRPr="00714AAD">
        <w:rPr>
          <w:rFonts w:ascii="Arial" w:hAnsi="Arial" w:cs="Arial"/>
          <w:i/>
          <w:color w:val="000000"/>
          <w:sz w:val="18"/>
          <w:szCs w:val="18"/>
        </w:rPr>
        <w:t xml:space="preserve">, em especial: (...);II - receber, examinar e </w:t>
      </w:r>
      <w:r w:rsidRPr="00714AAD">
        <w:rPr>
          <w:rFonts w:ascii="Arial" w:hAnsi="Arial" w:cs="Arial"/>
          <w:b/>
          <w:i/>
          <w:color w:val="000000"/>
          <w:sz w:val="18"/>
          <w:szCs w:val="18"/>
          <w:u w:val="single"/>
        </w:rPr>
        <w:t>decidir as impugnações e os pedidos de esclarecimentos ao edital e aos anexos</w:t>
      </w:r>
      <w:r w:rsidRPr="00714AAD">
        <w:rPr>
          <w:rFonts w:ascii="Arial" w:hAnsi="Arial" w:cs="Arial"/>
          <w:i/>
          <w:color w:val="000000"/>
          <w:sz w:val="18"/>
          <w:szCs w:val="18"/>
        </w:rPr>
        <w:t xml:space="preserve">, além de poder requisitar subsídios formais aos responsáveis pela elaboração desses documentos;(...) VII - </w:t>
      </w:r>
      <w:r w:rsidRPr="00714AAD">
        <w:rPr>
          <w:rFonts w:ascii="Arial" w:hAnsi="Arial" w:cs="Arial"/>
          <w:b/>
          <w:i/>
          <w:color w:val="000000"/>
          <w:sz w:val="18"/>
          <w:szCs w:val="18"/>
          <w:u w:val="single"/>
        </w:rPr>
        <w:t>receber, examinar e decidir os recursos e encaminhá-los à autoridade competente quando mantiver sua decisão</w:t>
      </w:r>
      <w:r>
        <w:rPr>
          <w:rFonts w:ascii="Arial" w:hAnsi="Arial" w:cs="Arial"/>
          <w:b/>
          <w:i/>
          <w:color w:val="000000"/>
          <w:sz w:val="18"/>
          <w:szCs w:val="18"/>
          <w:u w:val="single"/>
        </w:rPr>
        <w:t>”.</w:t>
      </w:r>
      <w:r>
        <w:rPr>
          <w:rFonts w:ascii="Arial" w:hAnsi="Arial" w:cs="Arial"/>
          <w:color w:val="000000"/>
          <w:sz w:val="20"/>
          <w:szCs w:val="20"/>
        </w:rPr>
        <w:t xml:space="preserve"> (grifo nosso)</w:t>
      </w:r>
    </w:p>
    <w:p w:rsidR="00714AAD" w:rsidRDefault="00714AAD" w:rsidP="00BC4043">
      <w:pPr>
        <w:widowControl/>
        <w:adjustRightInd w:val="0"/>
        <w:ind w:left="851" w:right="798"/>
        <w:jc w:val="both"/>
        <w:rPr>
          <w:rFonts w:ascii="Arial" w:hAnsi="Arial" w:cs="Arial"/>
          <w:color w:val="000000"/>
          <w:sz w:val="20"/>
          <w:szCs w:val="20"/>
        </w:rPr>
      </w:pPr>
    </w:p>
    <w:p w:rsidR="00714AAD" w:rsidRDefault="00714AAD" w:rsidP="00BC4043">
      <w:pPr>
        <w:widowControl/>
        <w:adjustRightInd w:val="0"/>
        <w:ind w:left="851" w:right="798"/>
        <w:jc w:val="both"/>
        <w:rPr>
          <w:rFonts w:ascii="Arial" w:hAnsi="Arial" w:cs="Arial"/>
          <w:i/>
          <w:color w:val="000000"/>
          <w:sz w:val="18"/>
          <w:szCs w:val="18"/>
        </w:rPr>
      </w:pPr>
      <w:r>
        <w:rPr>
          <w:rFonts w:ascii="Arial" w:hAnsi="Arial" w:cs="Arial"/>
          <w:color w:val="000000"/>
          <w:sz w:val="20"/>
          <w:szCs w:val="20"/>
        </w:rPr>
        <w:t>Autoridade Competente – Art. 13 Caput e inciso do Decreto: “</w:t>
      </w:r>
      <w:r w:rsidRPr="00714AAD">
        <w:rPr>
          <w:rFonts w:ascii="Arial" w:hAnsi="Arial" w:cs="Arial"/>
          <w:b/>
          <w:i/>
          <w:color w:val="000000"/>
          <w:sz w:val="18"/>
          <w:szCs w:val="18"/>
          <w:u w:val="single"/>
        </w:rPr>
        <w:t>Caberá à autoridade competente</w:t>
      </w:r>
      <w:r w:rsidRPr="00714AAD">
        <w:rPr>
          <w:rFonts w:ascii="Arial" w:hAnsi="Arial" w:cs="Arial"/>
          <w:i/>
          <w:color w:val="000000"/>
          <w:sz w:val="18"/>
          <w:szCs w:val="18"/>
        </w:rPr>
        <w:t xml:space="preserve">, de acordo com as atribuições previstas no regimento ou no estatuto do órgão ou da entidade promotora da licitação; IV - </w:t>
      </w:r>
      <w:r w:rsidRPr="00714AAD">
        <w:rPr>
          <w:rFonts w:ascii="Arial" w:hAnsi="Arial" w:cs="Arial"/>
          <w:b/>
          <w:i/>
          <w:color w:val="000000"/>
          <w:sz w:val="18"/>
          <w:szCs w:val="18"/>
          <w:u w:val="single"/>
        </w:rPr>
        <w:t>decidir os recursos contra os atos do pregoeiro, quando este mantiver sua decisão</w:t>
      </w:r>
      <w:r w:rsidRPr="00714AAD">
        <w:rPr>
          <w:rFonts w:ascii="Arial" w:hAnsi="Arial" w:cs="Arial"/>
          <w:i/>
          <w:color w:val="000000"/>
          <w:sz w:val="18"/>
          <w:szCs w:val="18"/>
        </w:rPr>
        <w:t>;</w:t>
      </w:r>
      <w:r>
        <w:rPr>
          <w:rFonts w:ascii="Arial" w:hAnsi="Arial" w:cs="Arial"/>
          <w:i/>
          <w:color w:val="000000"/>
          <w:sz w:val="18"/>
          <w:szCs w:val="18"/>
        </w:rPr>
        <w:t>(grifo nosso).</w:t>
      </w:r>
    </w:p>
    <w:p w:rsidR="00714AAD" w:rsidRDefault="00714AAD" w:rsidP="00BC4043">
      <w:pPr>
        <w:widowControl/>
        <w:adjustRightInd w:val="0"/>
        <w:ind w:left="851" w:right="798"/>
        <w:jc w:val="both"/>
        <w:rPr>
          <w:rFonts w:ascii="Arial" w:hAnsi="Arial" w:cs="Arial"/>
          <w:i/>
          <w:color w:val="000000"/>
          <w:sz w:val="18"/>
          <w:szCs w:val="18"/>
        </w:rPr>
      </w:pPr>
    </w:p>
    <w:p w:rsidR="00714AAD" w:rsidRDefault="00F75D4D" w:rsidP="00BC4043">
      <w:pPr>
        <w:widowControl/>
        <w:adjustRightInd w:val="0"/>
        <w:ind w:left="851" w:right="798"/>
        <w:jc w:val="both"/>
        <w:rPr>
          <w:rFonts w:ascii="Arial" w:hAnsi="Arial" w:cs="Arial"/>
          <w:color w:val="000000"/>
          <w:sz w:val="20"/>
          <w:szCs w:val="20"/>
        </w:rPr>
      </w:pPr>
      <w:r>
        <w:rPr>
          <w:rFonts w:ascii="Arial" w:hAnsi="Arial" w:cs="Arial"/>
          <w:color w:val="000000"/>
          <w:sz w:val="20"/>
          <w:szCs w:val="20"/>
        </w:rPr>
        <w:t>Sendo assim</w:t>
      </w:r>
      <w:r w:rsidR="00714AAD" w:rsidRPr="00F75D4D">
        <w:rPr>
          <w:rFonts w:ascii="Arial" w:hAnsi="Arial" w:cs="Arial"/>
          <w:color w:val="000000"/>
          <w:sz w:val="20"/>
          <w:szCs w:val="20"/>
        </w:rPr>
        <w:t xml:space="preserve">, informo que não existe previsão legal para envio à autoridade superior </w:t>
      </w:r>
      <w:r>
        <w:rPr>
          <w:rFonts w:ascii="Arial" w:hAnsi="Arial" w:cs="Arial"/>
          <w:color w:val="000000"/>
          <w:sz w:val="20"/>
          <w:szCs w:val="20"/>
        </w:rPr>
        <w:t xml:space="preserve">competente </w:t>
      </w:r>
      <w:r w:rsidR="00714AAD" w:rsidRPr="00F75D4D">
        <w:rPr>
          <w:rFonts w:ascii="Arial" w:hAnsi="Arial" w:cs="Arial"/>
          <w:color w:val="000000"/>
          <w:sz w:val="20"/>
          <w:szCs w:val="20"/>
        </w:rPr>
        <w:t>em caso de indeferimento de impugnações. De</w:t>
      </w:r>
      <w:r w:rsidRPr="00F75D4D">
        <w:rPr>
          <w:rFonts w:ascii="Arial" w:hAnsi="Arial" w:cs="Arial"/>
          <w:color w:val="000000"/>
          <w:sz w:val="20"/>
          <w:szCs w:val="20"/>
        </w:rPr>
        <w:t>starte</w:t>
      </w:r>
      <w:r w:rsidR="00714AAD" w:rsidRPr="00F75D4D">
        <w:rPr>
          <w:rFonts w:ascii="Arial" w:hAnsi="Arial" w:cs="Arial"/>
          <w:color w:val="000000"/>
          <w:sz w:val="20"/>
          <w:szCs w:val="20"/>
        </w:rPr>
        <w:t>, após o encerram</w:t>
      </w:r>
      <w:r w:rsidRPr="00F75D4D">
        <w:rPr>
          <w:rFonts w:ascii="Arial" w:hAnsi="Arial" w:cs="Arial"/>
          <w:color w:val="000000"/>
          <w:sz w:val="20"/>
          <w:szCs w:val="20"/>
        </w:rPr>
        <w:t>ento, o processo irá para autoridade competente que decidirá se acolhe ou não a decisão do pregoeiro, homologando ou não o</w:t>
      </w:r>
      <w:r w:rsidR="005450C2">
        <w:rPr>
          <w:rFonts w:ascii="Arial" w:hAnsi="Arial" w:cs="Arial"/>
          <w:color w:val="000000"/>
          <w:sz w:val="20"/>
          <w:szCs w:val="20"/>
        </w:rPr>
        <w:t xml:space="preserve"> resultado do certame.</w:t>
      </w:r>
    </w:p>
    <w:p w:rsidR="00F75D4D" w:rsidRDefault="00F75D4D" w:rsidP="00BC4043">
      <w:pPr>
        <w:widowControl/>
        <w:adjustRightInd w:val="0"/>
        <w:ind w:left="851" w:right="798"/>
        <w:jc w:val="both"/>
        <w:rPr>
          <w:rFonts w:ascii="Arial" w:hAnsi="Arial" w:cs="Arial"/>
          <w:color w:val="000000"/>
          <w:sz w:val="20"/>
          <w:szCs w:val="20"/>
        </w:rPr>
      </w:pPr>
    </w:p>
    <w:p w:rsidR="00F75D4D" w:rsidRDefault="00F75D4D" w:rsidP="00F75D4D">
      <w:pPr>
        <w:pStyle w:val="Ttulo1"/>
        <w:numPr>
          <w:ilvl w:val="0"/>
          <w:numId w:val="3"/>
        </w:numPr>
        <w:tabs>
          <w:tab w:val="left" w:pos="887"/>
        </w:tabs>
        <w:spacing w:before="214"/>
        <w:rPr>
          <w:spacing w:val="-4"/>
          <w:sz w:val="22"/>
          <w:szCs w:val="22"/>
        </w:rPr>
      </w:pPr>
      <w:r w:rsidRPr="00F75D4D">
        <w:rPr>
          <w:spacing w:val="-4"/>
          <w:sz w:val="22"/>
          <w:szCs w:val="22"/>
        </w:rPr>
        <w:t>DA DECISÃO DO PREGOEIRO</w:t>
      </w:r>
    </w:p>
    <w:p w:rsidR="00F75D4D" w:rsidRPr="00464AD0" w:rsidRDefault="00F75D4D" w:rsidP="006C7442">
      <w:pPr>
        <w:pStyle w:val="Ttulo1"/>
        <w:tabs>
          <w:tab w:val="left" w:pos="887"/>
        </w:tabs>
        <w:spacing w:before="214"/>
        <w:ind w:left="851" w:right="798"/>
        <w:jc w:val="both"/>
        <w:rPr>
          <w:b w:val="0"/>
          <w:spacing w:val="-4"/>
          <w:sz w:val="20"/>
          <w:szCs w:val="20"/>
        </w:rPr>
      </w:pPr>
      <w:r w:rsidRPr="00464AD0">
        <w:rPr>
          <w:b w:val="0"/>
          <w:spacing w:val="-4"/>
          <w:sz w:val="20"/>
          <w:szCs w:val="20"/>
        </w:rPr>
        <w:t>Diante disso, conheço da impugnação</w:t>
      </w:r>
      <w:r w:rsidR="006C7442" w:rsidRPr="00464AD0">
        <w:rPr>
          <w:b w:val="0"/>
          <w:spacing w:val="-4"/>
          <w:sz w:val="20"/>
          <w:szCs w:val="20"/>
        </w:rPr>
        <w:t xml:space="preserve"> interposta pela empresa </w:t>
      </w:r>
      <w:r w:rsidR="009B5B7E" w:rsidRPr="00464AD0">
        <w:rPr>
          <w:b w:val="0"/>
          <w:spacing w:val="-4"/>
          <w:sz w:val="20"/>
          <w:szCs w:val="20"/>
        </w:rPr>
        <w:t>Impugnante</w:t>
      </w:r>
      <w:r w:rsidRPr="00464AD0">
        <w:rPr>
          <w:b w:val="0"/>
          <w:spacing w:val="-4"/>
          <w:sz w:val="20"/>
          <w:szCs w:val="20"/>
        </w:rPr>
        <w:t xml:space="preserve">, já que os requisitos de admissibilidade foram respeitados. No mérito, </w:t>
      </w:r>
      <w:r w:rsidR="006C7442" w:rsidRPr="00464AD0">
        <w:rPr>
          <w:b w:val="0"/>
          <w:spacing w:val="-4"/>
          <w:sz w:val="20"/>
          <w:szCs w:val="20"/>
        </w:rPr>
        <w:t xml:space="preserve">julgo total </w:t>
      </w:r>
      <w:r w:rsidR="006C7442" w:rsidRPr="00464AD0">
        <w:rPr>
          <w:spacing w:val="-4"/>
          <w:sz w:val="20"/>
          <w:szCs w:val="20"/>
        </w:rPr>
        <w:t>improcedência</w:t>
      </w:r>
      <w:r w:rsidR="006C7442" w:rsidRPr="00464AD0">
        <w:rPr>
          <w:b w:val="0"/>
          <w:spacing w:val="-4"/>
          <w:sz w:val="20"/>
          <w:szCs w:val="20"/>
        </w:rPr>
        <w:t xml:space="preserve"> da impugnação, com isso, permanecendo inalteradas as informações contidas no edital e anexos.</w:t>
      </w:r>
    </w:p>
    <w:p w:rsidR="006C7442" w:rsidRDefault="006C7442" w:rsidP="006C7442">
      <w:pPr>
        <w:pStyle w:val="Ttulo1"/>
        <w:tabs>
          <w:tab w:val="left" w:pos="887"/>
        </w:tabs>
        <w:spacing w:before="214"/>
        <w:ind w:left="851" w:right="798"/>
        <w:jc w:val="both"/>
        <w:rPr>
          <w:b w:val="0"/>
          <w:spacing w:val="-4"/>
          <w:sz w:val="22"/>
          <w:szCs w:val="22"/>
        </w:rPr>
      </w:pPr>
    </w:p>
    <w:p w:rsidR="006C7442" w:rsidRPr="006C7442" w:rsidRDefault="006C7442" w:rsidP="006C7442">
      <w:pPr>
        <w:pStyle w:val="Ttulo1"/>
        <w:tabs>
          <w:tab w:val="left" w:pos="887"/>
        </w:tabs>
        <w:spacing w:before="214"/>
        <w:ind w:left="851" w:right="798"/>
        <w:jc w:val="center"/>
        <w:rPr>
          <w:spacing w:val="-4"/>
          <w:sz w:val="22"/>
          <w:szCs w:val="22"/>
        </w:rPr>
      </w:pPr>
      <w:r w:rsidRPr="006C7442">
        <w:rPr>
          <w:spacing w:val="-4"/>
          <w:sz w:val="22"/>
          <w:szCs w:val="22"/>
        </w:rPr>
        <w:t>Carlos Ricardo Moura dos Santos</w:t>
      </w:r>
    </w:p>
    <w:p w:rsidR="006C7442" w:rsidRPr="006C7442" w:rsidRDefault="006C7442" w:rsidP="006C7442">
      <w:pPr>
        <w:pStyle w:val="Ttulo1"/>
        <w:tabs>
          <w:tab w:val="left" w:pos="887"/>
        </w:tabs>
        <w:spacing w:before="214"/>
        <w:ind w:left="851" w:right="798"/>
        <w:jc w:val="center"/>
        <w:rPr>
          <w:b w:val="0"/>
          <w:spacing w:val="-4"/>
          <w:sz w:val="22"/>
          <w:szCs w:val="22"/>
        </w:rPr>
      </w:pPr>
      <w:r>
        <w:rPr>
          <w:b w:val="0"/>
          <w:spacing w:val="-4"/>
          <w:sz w:val="22"/>
          <w:szCs w:val="22"/>
        </w:rPr>
        <w:t>Pregoeiro da PRPA</w:t>
      </w:r>
    </w:p>
    <w:p w:rsidR="00D6231E" w:rsidRPr="00714AAD" w:rsidRDefault="00D6231E" w:rsidP="00BC4043">
      <w:pPr>
        <w:widowControl/>
        <w:adjustRightInd w:val="0"/>
        <w:ind w:left="851" w:right="798"/>
        <w:jc w:val="both"/>
        <w:rPr>
          <w:rFonts w:ascii="Arial" w:hAnsi="Arial" w:cs="Arial"/>
          <w:i/>
          <w:sz w:val="18"/>
          <w:szCs w:val="18"/>
        </w:rPr>
      </w:pPr>
    </w:p>
    <w:p w:rsidR="000F45B3" w:rsidRDefault="000F45B3" w:rsidP="00BC4043">
      <w:pPr>
        <w:widowControl/>
        <w:adjustRightInd w:val="0"/>
        <w:ind w:left="851" w:right="798"/>
        <w:jc w:val="both"/>
        <w:rPr>
          <w:rFonts w:ascii="Arial" w:hAnsi="Arial" w:cs="Arial"/>
          <w:sz w:val="20"/>
          <w:szCs w:val="20"/>
        </w:rPr>
      </w:pPr>
    </w:p>
    <w:p w:rsidR="00866B41" w:rsidRDefault="00866B41" w:rsidP="00BC4043">
      <w:pPr>
        <w:widowControl/>
        <w:adjustRightInd w:val="0"/>
        <w:ind w:left="851" w:right="798"/>
        <w:jc w:val="both"/>
        <w:rPr>
          <w:rFonts w:ascii="Arial" w:hAnsi="Arial" w:cs="Arial"/>
          <w:sz w:val="20"/>
          <w:szCs w:val="20"/>
        </w:rPr>
      </w:pPr>
    </w:p>
    <w:p w:rsidR="00866B41" w:rsidRDefault="00866B41" w:rsidP="00BC4043">
      <w:pPr>
        <w:widowControl/>
        <w:adjustRightInd w:val="0"/>
        <w:ind w:left="851" w:right="798"/>
        <w:jc w:val="both"/>
        <w:rPr>
          <w:rFonts w:ascii="Arial" w:hAnsi="Arial" w:cs="Arial"/>
          <w:sz w:val="20"/>
          <w:szCs w:val="20"/>
        </w:rPr>
      </w:pPr>
    </w:p>
    <w:p w:rsidR="00866B41" w:rsidRDefault="00866B41" w:rsidP="00BC4043">
      <w:pPr>
        <w:widowControl/>
        <w:adjustRightInd w:val="0"/>
        <w:ind w:left="851" w:right="798"/>
        <w:jc w:val="both"/>
        <w:rPr>
          <w:rFonts w:ascii="Arial" w:hAnsi="Arial" w:cs="Arial"/>
          <w:sz w:val="20"/>
          <w:szCs w:val="20"/>
        </w:rPr>
      </w:pPr>
    </w:p>
    <w:p w:rsidR="00866B41" w:rsidRPr="000E0197" w:rsidRDefault="00866B41" w:rsidP="00BC4043">
      <w:pPr>
        <w:widowControl/>
        <w:adjustRightInd w:val="0"/>
        <w:ind w:left="851" w:right="798"/>
        <w:jc w:val="both"/>
        <w:rPr>
          <w:rFonts w:ascii="Arial" w:hAnsi="Arial" w:cs="Arial"/>
          <w:sz w:val="20"/>
          <w:szCs w:val="20"/>
        </w:rPr>
      </w:pPr>
    </w:p>
    <w:p w:rsidR="009A10F9" w:rsidRPr="000E0197" w:rsidRDefault="000F45B3" w:rsidP="00BC4043">
      <w:pPr>
        <w:widowControl/>
        <w:adjustRightInd w:val="0"/>
        <w:ind w:left="851" w:right="798"/>
        <w:jc w:val="both"/>
        <w:rPr>
          <w:rFonts w:ascii="Arial" w:hAnsi="Arial" w:cs="Arial"/>
          <w:sz w:val="20"/>
          <w:szCs w:val="20"/>
        </w:rPr>
      </w:pPr>
      <w:r w:rsidRPr="000E0197">
        <w:rPr>
          <w:rFonts w:ascii="Arial" w:hAnsi="Arial" w:cs="Arial"/>
          <w:sz w:val="20"/>
          <w:szCs w:val="20"/>
        </w:rPr>
        <w:t xml:space="preserve"> </w:t>
      </w:r>
      <w:r w:rsidR="009A10F9" w:rsidRPr="000E0197">
        <w:rPr>
          <w:rFonts w:ascii="Arial" w:hAnsi="Arial" w:cs="Arial"/>
          <w:sz w:val="20"/>
          <w:szCs w:val="20"/>
        </w:rPr>
        <w:t xml:space="preserve"> </w:t>
      </w:r>
    </w:p>
    <w:p w:rsidR="00ED1F7D" w:rsidRPr="000E0197" w:rsidRDefault="00837748" w:rsidP="00837748">
      <w:pPr>
        <w:widowControl/>
        <w:tabs>
          <w:tab w:val="left" w:pos="2871"/>
        </w:tabs>
        <w:adjustRightInd w:val="0"/>
        <w:ind w:left="851" w:right="798"/>
        <w:jc w:val="both"/>
        <w:rPr>
          <w:rFonts w:ascii="Arial" w:hAnsi="Arial" w:cs="Arial"/>
          <w:sz w:val="20"/>
          <w:szCs w:val="20"/>
        </w:rPr>
      </w:pPr>
      <w:r w:rsidRPr="000E0197">
        <w:rPr>
          <w:rFonts w:ascii="Arial" w:hAnsi="Arial" w:cs="Arial"/>
          <w:sz w:val="20"/>
          <w:szCs w:val="20"/>
        </w:rPr>
        <w:tab/>
      </w:r>
    </w:p>
    <w:p w:rsidR="005060AD" w:rsidRPr="000E0197" w:rsidRDefault="00ED1F7D" w:rsidP="00ED1F7D">
      <w:pPr>
        <w:widowControl/>
        <w:adjustRightInd w:val="0"/>
        <w:ind w:left="851" w:right="798"/>
        <w:jc w:val="both"/>
        <w:rPr>
          <w:rFonts w:ascii="Arial" w:hAnsi="Arial" w:cs="Arial"/>
          <w:sz w:val="20"/>
          <w:szCs w:val="20"/>
        </w:rPr>
      </w:pPr>
      <w:r w:rsidRPr="000E0197">
        <w:rPr>
          <w:rFonts w:ascii="Arial" w:hAnsi="Arial" w:cs="Arial"/>
          <w:sz w:val="20"/>
          <w:szCs w:val="20"/>
        </w:rPr>
        <w:t xml:space="preserve"> </w:t>
      </w:r>
      <w:r w:rsidR="001D5692" w:rsidRPr="000E0197">
        <w:rPr>
          <w:rFonts w:ascii="Arial" w:hAnsi="Arial" w:cs="Arial"/>
          <w:sz w:val="20"/>
          <w:szCs w:val="20"/>
        </w:rPr>
        <w:t xml:space="preserve">    </w:t>
      </w:r>
    </w:p>
    <w:p w:rsidR="00574A3D" w:rsidRPr="000E0197" w:rsidRDefault="00574A3D" w:rsidP="00574A3D">
      <w:pPr>
        <w:pStyle w:val="Corpodetexto"/>
        <w:spacing w:before="123"/>
        <w:ind w:left="851" w:right="798"/>
        <w:jc w:val="both"/>
        <w:rPr>
          <w:rFonts w:ascii="Arial" w:hAnsi="Arial" w:cs="Arial"/>
          <w:sz w:val="20"/>
          <w:szCs w:val="20"/>
        </w:rPr>
      </w:pPr>
    </w:p>
    <w:p w:rsidR="007610C5" w:rsidRDefault="00574A3D" w:rsidP="006C7442">
      <w:pPr>
        <w:pStyle w:val="Corpodetexto"/>
        <w:spacing w:before="123"/>
        <w:ind w:left="851" w:right="798"/>
        <w:jc w:val="both"/>
      </w:pPr>
      <w:r>
        <w:rPr>
          <w:rFonts w:ascii="Arial" w:hAnsi="Arial" w:cs="Arial"/>
          <w:sz w:val="20"/>
          <w:szCs w:val="20"/>
        </w:rPr>
        <w:t xml:space="preserve"> </w:t>
      </w:r>
    </w:p>
    <w:sectPr w:rsidR="007610C5">
      <w:headerReference w:type="default" r:id="rId19"/>
      <w:footerReference w:type="default" r:id="rId20"/>
      <w:pgSz w:w="11910" w:h="16850"/>
      <w:pgMar w:top="1980" w:right="740" w:bottom="940" w:left="1300" w:header="731"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1D9" w:rsidRDefault="005241D9">
      <w:r>
        <w:separator/>
      </w:r>
    </w:p>
  </w:endnote>
  <w:endnote w:type="continuationSeparator" w:id="0">
    <w:p w:rsidR="005241D9" w:rsidRDefault="0052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AAD" w:rsidRDefault="00714AAD">
    <w:pPr>
      <w:pStyle w:val="Corpodetexto"/>
      <w:spacing w:line="14" w:lineRule="auto"/>
      <w:rPr>
        <w:sz w:val="20"/>
      </w:rPr>
    </w:pPr>
    <w:r>
      <w:rPr>
        <w:noProof/>
        <w:lang w:val="pt-BR" w:eastAsia="pt-BR"/>
      </w:rPr>
      <mc:AlternateContent>
        <mc:Choice Requires="wps">
          <w:drawing>
            <wp:anchor distT="0" distB="0" distL="114300" distR="114300" simplePos="0" relativeHeight="487545856" behindDoc="1" locked="0" layoutInCell="1" allowOverlap="1">
              <wp:simplePos x="0" y="0"/>
              <wp:positionH relativeFrom="page">
                <wp:posOffset>6920230</wp:posOffset>
              </wp:positionH>
              <wp:positionV relativeFrom="page">
                <wp:posOffset>10080625</wp:posOffset>
              </wp:positionV>
              <wp:extent cx="139700" cy="165735"/>
              <wp:effectExtent l="0" t="0" r="0" b="0"/>
              <wp:wrapNone/>
              <wp:docPr id="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AAD" w:rsidRDefault="00714AAD">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5D3DC7">
                            <w:rPr>
                              <w:rFonts w:ascii="Times New Roman"/>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4.9pt;margin-top:793.75pt;width:11pt;height:13.05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" filled="f" stroked="f">
              <v:textbox inset="0,0,0,0">
                <w:txbxContent>
                  <w:p w:rsidR="00714AAD" w:rsidRDefault="00714AAD">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5D3DC7">
                      <w:rPr>
                        <w:rFonts w:ascii="Times New Roman"/>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1D9" w:rsidRDefault="005241D9">
      <w:r>
        <w:separator/>
      </w:r>
    </w:p>
  </w:footnote>
  <w:footnote w:type="continuationSeparator" w:id="0">
    <w:p w:rsidR="005241D9" w:rsidRDefault="00524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AAD" w:rsidRDefault="00714AAD">
    <w:pPr>
      <w:pStyle w:val="Corpodetexto"/>
      <w:spacing w:line="14" w:lineRule="auto"/>
      <w:rPr>
        <w:sz w:val="20"/>
      </w:rPr>
    </w:pPr>
    <w:r>
      <w:rPr>
        <w:noProof/>
        <w:sz w:val="20"/>
        <w:lang w:val="pt-BR" w:eastAsia="pt-BR"/>
      </w:rPr>
      <w:drawing>
        <wp:anchor distT="0" distB="0" distL="114300" distR="114300" simplePos="0" relativeHeight="251664384" behindDoc="0" locked="0" layoutInCell="1" allowOverlap="1" wp14:anchorId="63B89DBA" wp14:editId="3C87D7B1">
          <wp:simplePos x="0" y="0"/>
          <wp:positionH relativeFrom="column">
            <wp:posOffset>1457216</wp:posOffset>
          </wp:positionH>
          <wp:positionV relativeFrom="paragraph">
            <wp:posOffset>-178969</wp:posOffset>
          </wp:positionV>
          <wp:extent cx="530860" cy="546100"/>
          <wp:effectExtent l="0" t="0" r="2540" b="6350"/>
          <wp:wrapSquare wrapText="bothSides"/>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a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860" cy="546100"/>
                  </a:xfrm>
                  <a:prstGeom prst="rect">
                    <a:avLst/>
                  </a:prstGeom>
                </pic:spPr>
              </pic:pic>
            </a:graphicData>
          </a:graphic>
          <wp14:sizeRelH relativeFrom="page">
            <wp14:pctWidth>0</wp14:pctWidth>
          </wp14:sizeRelH>
          <wp14:sizeRelV relativeFrom="page">
            <wp14:pctHeight>0</wp14:pctHeight>
          </wp14:sizeRelV>
        </wp:anchor>
      </w:drawing>
    </w:r>
    <w:r>
      <w:rPr>
        <w:noProof/>
        <w:sz w:val="20"/>
        <w:lang w:val="pt-BR" w:eastAsia="pt-BR"/>
      </w:rPr>
      <w:drawing>
        <wp:anchor distT="0" distB="0" distL="114300" distR="114300" simplePos="0" relativeHeight="251657216" behindDoc="0" locked="0" layoutInCell="1" allowOverlap="1" wp14:anchorId="426A6317" wp14:editId="06682F44">
          <wp:simplePos x="0" y="0"/>
          <wp:positionH relativeFrom="column">
            <wp:posOffset>2108200</wp:posOffset>
          </wp:positionH>
          <wp:positionV relativeFrom="paragraph">
            <wp:posOffset>-156210</wp:posOffset>
          </wp:positionV>
          <wp:extent cx="2254885" cy="476250"/>
          <wp:effectExtent l="0" t="0" r="0" b="0"/>
          <wp:wrapSquare wrapText="bothSides"/>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mpf.jpg"/>
                  <pic:cNvPicPr/>
                </pic:nvPicPr>
                <pic:blipFill>
                  <a:blip r:embed="rId2">
                    <a:extLst>
                      <a:ext uri="{28A0092B-C50C-407E-A947-70E740481C1C}">
                        <a14:useLocalDpi xmlns:a14="http://schemas.microsoft.com/office/drawing/2010/main" val="0"/>
                      </a:ext>
                    </a:extLst>
                  </a:blip>
                  <a:stretch>
                    <a:fillRect/>
                  </a:stretch>
                </pic:blipFill>
                <pic:spPr>
                  <a:xfrm>
                    <a:off x="0" y="0"/>
                    <a:ext cx="2254885" cy="476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55EE7"/>
    <w:multiLevelType w:val="hybridMultilevel"/>
    <w:tmpl w:val="221879FA"/>
    <w:lvl w:ilvl="0" w:tplc="02ACBA30">
      <w:start w:val="2"/>
      <w:numFmt w:val="decimal"/>
      <w:lvlText w:val="%1."/>
      <w:lvlJc w:val="left"/>
      <w:pPr>
        <w:ind w:left="1246" w:hanging="360"/>
      </w:pPr>
      <w:rPr>
        <w:rFonts w:hint="default"/>
        <w:u w:val="none"/>
      </w:rPr>
    </w:lvl>
    <w:lvl w:ilvl="1" w:tplc="04160019" w:tentative="1">
      <w:start w:val="1"/>
      <w:numFmt w:val="lowerLetter"/>
      <w:lvlText w:val="%2."/>
      <w:lvlJc w:val="left"/>
      <w:pPr>
        <w:ind w:left="1966" w:hanging="360"/>
      </w:pPr>
    </w:lvl>
    <w:lvl w:ilvl="2" w:tplc="0416001B" w:tentative="1">
      <w:start w:val="1"/>
      <w:numFmt w:val="lowerRoman"/>
      <w:lvlText w:val="%3."/>
      <w:lvlJc w:val="right"/>
      <w:pPr>
        <w:ind w:left="2686" w:hanging="180"/>
      </w:pPr>
    </w:lvl>
    <w:lvl w:ilvl="3" w:tplc="0416000F" w:tentative="1">
      <w:start w:val="1"/>
      <w:numFmt w:val="decimal"/>
      <w:lvlText w:val="%4."/>
      <w:lvlJc w:val="left"/>
      <w:pPr>
        <w:ind w:left="3406" w:hanging="360"/>
      </w:pPr>
    </w:lvl>
    <w:lvl w:ilvl="4" w:tplc="04160019" w:tentative="1">
      <w:start w:val="1"/>
      <w:numFmt w:val="lowerLetter"/>
      <w:lvlText w:val="%5."/>
      <w:lvlJc w:val="left"/>
      <w:pPr>
        <w:ind w:left="4126" w:hanging="360"/>
      </w:pPr>
    </w:lvl>
    <w:lvl w:ilvl="5" w:tplc="0416001B" w:tentative="1">
      <w:start w:val="1"/>
      <w:numFmt w:val="lowerRoman"/>
      <w:lvlText w:val="%6."/>
      <w:lvlJc w:val="right"/>
      <w:pPr>
        <w:ind w:left="4846" w:hanging="180"/>
      </w:pPr>
    </w:lvl>
    <w:lvl w:ilvl="6" w:tplc="0416000F" w:tentative="1">
      <w:start w:val="1"/>
      <w:numFmt w:val="decimal"/>
      <w:lvlText w:val="%7."/>
      <w:lvlJc w:val="left"/>
      <w:pPr>
        <w:ind w:left="5566" w:hanging="360"/>
      </w:pPr>
    </w:lvl>
    <w:lvl w:ilvl="7" w:tplc="04160019" w:tentative="1">
      <w:start w:val="1"/>
      <w:numFmt w:val="lowerLetter"/>
      <w:lvlText w:val="%8."/>
      <w:lvlJc w:val="left"/>
      <w:pPr>
        <w:ind w:left="6286" w:hanging="360"/>
      </w:pPr>
    </w:lvl>
    <w:lvl w:ilvl="8" w:tplc="0416001B" w:tentative="1">
      <w:start w:val="1"/>
      <w:numFmt w:val="lowerRoman"/>
      <w:lvlText w:val="%9."/>
      <w:lvlJc w:val="right"/>
      <w:pPr>
        <w:ind w:left="7006" w:hanging="180"/>
      </w:pPr>
    </w:lvl>
  </w:abstractNum>
  <w:abstractNum w:abstractNumId="1">
    <w:nsid w:val="5E3A14EA"/>
    <w:multiLevelType w:val="hybridMultilevel"/>
    <w:tmpl w:val="65DC0B4E"/>
    <w:lvl w:ilvl="0" w:tplc="10EEDC22">
      <w:start w:val="1"/>
      <w:numFmt w:val="decimal"/>
      <w:lvlText w:val="%1"/>
      <w:lvlJc w:val="left"/>
      <w:pPr>
        <w:ind w:left="1179" w:hanging="360"/>
      </w:pPr>
      <w:rPr>
        <w:rFonts w:hint="default"/>
        <w:u w:val="none"/>
      </w:rPr>
    </w:lvl>
    <w:lvl w:ilvl="1" w:tplc="04160019" w:tentative="1">
      <w:start w:val="1"/>
      <w:numFmt w:val="lowerLetter"/>
      <w:lvlText w:val="%2."/>
      <w:lvlJc w:val="left"/>
      <w:pPr>
        <w:ind w:left="1899" w:hanging="360"/>
      </w:pPr>
    </w:lvl>
    <w:lvl w:ilvl="2" w:tplc="0416001B" w:tentative="1">
      <w:start w:val="1"/>
      <w:numFmt w:val="lowerRoman"/>
      <w:lvlText w:val="%3."/>
      <w:lvlJc w:val="right"/>
      <w:pPr>
        <w:ind w:left="2619" w:hanging="180"/>
      </w:pPr>
    </w:lvl>
    <w:lvl w:ilvl="3" w:tplc="0416000F" w:tentative="1">
      <w:start w:val="1"/>
      <w:numFmt w:val="decimal"/>
      <w:lvlText w:val="%4."/>
      <w:lvlJc w:val="left"/>
      <w:pPr>
        <w:ind w:left="3339" w:hanging="360"/>
      </w:pPr>
    </w:lvl>
    <w:lvl w:ilvl="4" w:tplc="04160019" w:tentative="1">
      <w:start w:val="1"/>
      <w:numFmt w:val="lowerLetter"/>
      <w:lvlText w:val="%5."/>
      <w:lvlJc w:val="left"/>
      <w:pPr>
        <w:ind w:left="4059" w:hanging="360"/>
      </w:pPr>
    </w:lvl>
    <w:lvl w:ilvl="5" w:tplc="0416001B" w:tentative="1">
      <w:start w:val="1"/>
      <w:numFmt w:val="lowerRoman"/>
      <w:lvlText w:val="%6."/>
      <w:lvlJc w:val="right"/>
      <w:pPr>
        <w:ind w:left="4779" w:hanging="180"/>
      </w:pPr>
    </w:lvl>
    <w:lvl w:ilvl="6" w:tplc="0416000F" w:tentative="1">
      <w:start w:val="1"/>
      <w:numFmt w:val="decimal"/>
      <w:lvlText w:val="%7."/>
      <w:lvlJc w:val="left"/>
      <w:pPr>
        <w:ind w:left="5499" w:hanging="360"/>
      </w:pPr>
    </w:lvl>
    <w:lvl w:ilvl="7" w:tplc="04160019" w:tentative="1">
      <w:start w:val="1"/>
      <w:numFmt w:val="lowerLetter"/>
      <w:lvlText w:val="%8."/>
      <w:lvlJc w:val="left"/>
      <w:pPr>
        <w:ind w:left="6219" w:hanging="360"/>
      </w:pPr>
    </w:lvl>
    <w:lvl w:ilvl="8" w:tplc="0416001B" w:tentative="1">
      <w:start w:val="1"/>
      <w:numFmt w:val="lowerRoman"/>
      <w:lvlText w:val="%9."/>
      <w:lvlJc w:val="right"/>
      <w:pPr>
        <w:ind w:left="6939" w:hanging="180"/>
      </w:pPr>
    </w:lvl>
  </w:abstractNum>
  <w:abstractNum w:abstractNumId="2">
    <w:nsid w:val="6C705E24"/>
    <w:multiLevelType w:val="hybridMultilevel"/>
    <w:tmpl w:val="2A80CE50"/>
    <w:lvl w:ilvl="0" w:tplc="4A10AE84">
      <w:start w:val="1"/>
      <w:numFmt w:val="decimal"/>
      <w:lvlText w:val="%1."/>
      <w:lvlJc w:val="left"/>
      <w:pPr>
        <w:ind w:left="1211" w:hanging="360"/>
      </w:pPr>
      <w:rPr>
        <w:rFonts w:ascii="Arial" w:hAnsi="Arial" w:cs="Arial" w:hint="default"/>
        <w:b w:val="0"/>
        <w:i w:val="0"/>
        <w:sz w:val="20"/>
        <w:szCs w:val="20"/>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779A187A"/>
    <w:multiLevelType w:val="hybridMultilevel"/>
    <w:tmpl w:val="600AC124"/>
    <w:lvl w:ilvl="0" w:tplc="06D21CBC">
      <w:start w:val="1"/>
      <w:numFmt w:val="upperRoman"/>
      <w:lvlText w:val="%1"/>
      <w:lvlJc w:val="left"/>
      <w:pPr>
        <w:ind w:left="819" w:hanging="135"/>
      </w:pPr>
      <w:rPr>
        <w:rFonts w:ascii="Arial" w:eastAsia="Arial" w:hAnsi="Arial" w:cs="Arial" w:hint="default"/>
        <w:b/>
        <w:bCs/>
        <w:w w:val="100"/>
        <w:sz w:val="24"/>
        <w:szCs w:val="24"/>
        <w:u w:val="thick" w:color="000000"/>
        <w:lang w:val="pt-PT" w:eastAsia="en-US" w:bidi="ar-SA"/>
      </w:rPr>
    </w:lvl>
    <w:lvl w:ilvl="1" w:tplc="DEAE332A">
      <w:numFmt w:val="bullet"/>
      <w:lvlText w:val="•"/>
      <w:lvlJc w:val="left"/>
      <w:pPr>
        <w:ind w:left="1724" w:hanging="135"/>
      </w:pPr>
      <w:rPr>
        <w:rFonts w:hint="default"/>
        <w:lang w:val="pt-PT" w:eastAsia="en-US" w:bidi="ar-SA"/>
      </w:rPr>
    </w:lvl>
    <w:lvl w:ilvl="2" w:tplc="1C322EBC">
      <w:numFmt w:val="bullet"/>
      <w:lvlText w:val="•"/>
      <w:lvlJc w:val="left"/>
      <w:pPr>
        <w:ind w:left="2629" w:hanging="135"/>
      </w:pPr>
      <w:rPr>
        <w:rFonts w:hint="default"/>
        <w:lang w:val="pt-PT" w:eastAsia="en-US" w:bidi="ar-SA"/>
      </w:rPr>
    </w:lvl>
    <w:lvl w:ilvl="3" w:tplc="4240E5FC">
      <w:numFmt w:val="bullet"/>
      <w:lvlText w:val="•"/>
      <w:lvlJc w:val="left"/>
      <w:pPr>
        <w:ind w:left="3533" w:hanging="135"/>
      </w:pPr>
      <w:rPr>
        <w:rFonts w:hint="default"/>
        <w:lang w:val="pt-PT" w:eastAsia="en-US" w:bidi="ar-SA"/>
      </w:rPr>
    </w:lvl>
    <w:lvl w:ilvl="4" w:tplc="9F027ECC">
      <w:numFmt w:val="bullet"/>
      <w:lvlText w:val="•"/>
      <w:lvlJc w:val="left"/>
      <w:pPr>
        <w:ind w:left="4438" w:hanging="135"/>
      </w:pPr>
      <w:rPr>
        <w:rFonts w:hint="default"/>
        <w:lang w:val="pt-PT" w:eastAsia="en-US" w:bidi="ar-SA"/>
      </w:rPr>
    </w:lvl>
    <w:lvl w:ilvl="5" w:tplc="CFFA3A1A">
      <w:numFmt w:val="bullet"/>
      <w:lvlText w:val="•"/>
      <w:lvlJc w:val="left"/>
      <w:pPr>
        <w:ind w:left="5343" w:hanging="135"/>
      </w:pPr>
      <w:rPr>
        <w:rFonts w:hint="default"/>
        <w:lang w:val="pt-PT" w:eastAsia="en-US" w:bidi="ar-SA"/>
      </w:rPr>
    </w:lvl>
    <w:lvl w:ilvl="6" w:tplc="696E1868">
      <w:numFmt w:val="bullet"/>
      <w:lvlText w:val="•"/>
      <w:lvlJc w:val="left"/>
      <w:pPr>
        <w:ind w:left="6247" w:hanging="135"/>
      </w:pPr>
      <w:rPr>
        <w:rFonts w:hint="default"/>
        <w:lang w:val="pt-PT" w:eastAsia="en-US" w:bidi="ar-SA"/>
      </w:rPr>
    </w:lvl>
    <w:lvl w:ilvl="7" w:tplc="BE78B024">
      <w:numFmt w:val="bullet"/>
      <w:lvlText w:val="•"/>
      <w:lvlJc w:val="left"/>
      <w:pPr>
        <w:ind w:left="7152" w:hanging="135"/>
      </w:pPr>
      <w:rPr>
        <w:rFonts w:hint="default"/>
        <w:lang w:val="pt-PT" w:eastAsia="en-US" w:bidi="ar-SA"/>
      </w:rPr>
    </w:lvl>
    <w:lvl w:ilvl="8" w:tplc="C7BE39D8">
      <w:numFmt w:val="bullet"/>
      <w:lvlText w:val="•"/>
      <w:lvlJc w:val="left"/>
      <w:pPr>
        <w:ind w:left="8057" w:hanging="135"/>
      </w:pPr>
      <w:rPr>
        <w:rFonts w:hint="default"/>
        <w:lang w:val="pt-PT"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C5"/>
    <w:rsid w:val="00080D66"/>
    <w:rsid w:val="0008688A"/>
    <w:rsid w:val="000E0197"/>
    <w:rsid w:val="000F45B3"/>
    <w:rsid w:val="001013A0"/>
    <w:rsid w:val="00111616"/>
    <w:rsid w:val="00166BE5"/>
    <w:rsid w:val="001B791E"/>
    <w:rsid w:val="001C60BB"/>
    <w:rsid w:val="001D5692"/>
    <w:rsid w:val="00261A8E"/>
    <w:rsid w:val="002D1A5E"/>
    <w:rsid w:val="002F07EF"/>
    <w:rsid w:val="00333ED9"/>
    <w:rsid w:val="00344569"/>
    <w:rsid w:val="0034753D"/>
    <w:rsid w:val="00350977"/>
    <w:rsid w:val="003725C2"/>
    <w:rsid w:val="00430AC2"/>
    <w:rsid w:val="00462D2E"/>
    <w:rsid w:val="00464AD0"/>
    <w:rsid w:val="004A567B"/>
    <w:rsid w:val="004E5724"/>
    <w:rsid w:val="004F6291"/>
    <w:rsid w:val="005060AD"/>
    <w:rsid w:val="005241D9"/>
    <w:rsid w:val="00534282"/>
    <w:rsid w:val="005450C2"/>
    <w:rsid w:val="00574A3D"/>
    <w:rsid w:val="005D3DC7"/>
    <w:rsid w:val="005D69C4"/>
    <w:rsid w:val="005F4B34"/>
    <w:rsid w:val="0061384E"/>
    <w:rsid w:val="006304F4"/>
    <w:rsid w:val="00637CD5"/>
    <w:rsid w:val="00646EF4"/>
    <w:rsid w:val="006760C8"/>
    <w:rsid w:val="006875E7"/>
    <w:rsid w:val="006C7442"/>
    <w:rsid w:val="006D6DE1"/>
    <w:rsid w:val="00714AAD"/>
    <w:rsid w:val="007610C5"/>
    <w:rsid w:val="00763C9F"/>
    <w:rsid w:val="007B08B1"/>
    <w:rsid w:val="007F2A66"/>
    <w:rsid w:val="00821214"/>
    <w:rsid w:val="00837748"/>
    <w:rsid w:val="00866B41"/>
    <w:rsid w:val="00877025"/>
    <w:rsid w:val="008C3351"/>
    <w:rsid w:val="00945EF1"/>
    <w:rsid w:val="009507FB"/>
    <w:rsid w:val="009A0CD5"/>
    <w:rsid w:val="009A10F9"/>
    <w:rsid w:val="009B5B7E"/>
    <w:rsid w:val="009C37D3"/>
    <w:rsid w:val="009C6690"/>
    <w:rsid w:val="00A160FF"/>
    <w:rsid w:val="00A64770"/>
    <w:rsid w:val="00A937A9"/>
    <w:rsid w:val="00AC0907"/>
    <w:rsid w:val="00AD24BB"/>
    <w:rsid w:val="00AD3844"/>
    <w:rsid w:val="00AD56C0"/>
    <w:rsid w:val="00BA72D0"/>
    <w:rsid w:val="00BC4043"/>
    <w:rsid w:val="00BE7585"/>
    <w:rsid w:val="00C04CE0"/>
    <w:rsid w:val="00C23F66"/>
    <w:rsid w:val="00C574CF"/>
    <w:rsid w:val="00C74F60"/>
    <w:rsid w:val="00C815ED"/>
    <w:rsid w:val="00CB3E3D"/>
    <w:rsid w:val="00CB4A9D"/>
    <w:rsid w:val="00D04AFE"/>
    <w:rsid w:val="00D6231E"/>
    <w:rsid w:val="00E26268"/>
    <w:rsid w:val="00E83B3B"/>
    <w:rsid w:val="00ED1F7D"/>
    <w:rsid w:val="00F040C8"/>
    <w:rsid w:val="00F40723"/>
    <w:rsid w:val="00F75D4D"/>
    <w:rsid w:val="00FB73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31736C-CBFE-4C0D-93D9-74DD6DDD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18"/>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94"/>
      <w:ind w:left="819" w:hanging="202"/>
    </w:pPr>
    <w:rPr>
      <w:rFonts w:ascii="Arial" w:eastAsia="Arial" w:hAnsi="Arial" w:cs="Arial"/>
      <w:u w:val="single" w:color="000000"/>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E7585"/>
    <w:pPr>
      <w:tabs>
        <w:tab w:val="center" w:pos="4252"/>
        <w:tab w:val="right" w:pos="8504"/>
      </w:tabs>
    </w:pPr>
  </w:style>
  <w:style w:type="character" w:customStyle="1" w:styleId="CabealhoChar">
    <w:name w:val="Cabeçalho Char"/>
    <w:basedOn w:val="Fontepargpadro"/>
    <w:link w:val="Cabealho"/>
    <w:uiPriority w:val="99"/>
    <w:rsid w:val="00BE7585"/>
    <w:rPr>
      <w:rFonts w:ascii="Arial MT" w:eastAsia="Arial MT" w:hAnsi="Arial MT" w:cs="Arial MT"/>
      <w:lang w:val="pt-PT"/>
    </w:rPr>
  </w:style>
  <w:style w:type="paragraph" w:styleId="Rodap">
    <w:name w:val="footer"/>
    <w:basedOn w:val="Normal"/>
    <w:link w:val="RodapChar"/>
    <w:uiPriority w:val="99"/>
    <w:unhideWhenUsed/>
    <w:rsid w:val="00BE7585"/>
    <w:pPr>
      <w:tabs>
        <w:tab w:val="center" w:pos="4252"/>
        <w:tab w:val="right" w:pos="8504"/>
      </w:tabs>
    </w:pPr>
  </w:style>
  <w:style w:type="character" w:customStyle="1" w:styleId="RodapChar">
    <w:name w:val="Rodapé Char"/>
    <w:basedOn w:val="Fontepargpadro"/>
    <w:link w:val="Rodap"/>
    <w:uiPriority w:val="99"/>
    <w:rsid w:val="00BE7585"/>
    <w:rPr>
      <w:rFonts w:ascii="Arial MT" w:eastAsia="Arial MT" w:hAnsi="Arial MT" w:cs="Arial MT"/>
      <w:lang w:val="pt-PT"/>
    </w:rPr>
  </w:style>
  <w:style w:type="character" w:styleId="Hyperlink">
    <w:name w:val="Hyperlink"/>
    <w:basedOn w:val="Fontepargpadro"/>
    <w:uiPriority w:val="99"/>
    <w:unhideWhenUsed/>
    <w:rsid w:val="002D1A5E"/>
    <w:rPr>
      <w:color w:val="0000FF" w:themeColor="hyperlink"/>
      <w:u w:val="single"/>
    </w:rPr>
  </w:style>
  <w:style w:type="character" w:styleId="HiperlinkVisitado">
    <w:name w:val="FollowedHyperlink"/>
    <w:basedOn w:val="Fontepargpadro"/>
    <w:uiPriority w:val="99"/>
    <w:semiHidden/>
    <w:unhideWhenUsed/>
    <w:rsid w:val="00CB3E3D"/>
    <w:rPr>
      <w:color w:val="800080" w:themeColor="followedHyperlink"/>
      <w:u w:val="single"/>
    </w:rPr>
  </w:style>
  <w:style w:type="paragraph" w:customStyle="1" w:styleId="Default">
    <w:name w:val="Default"/>
    <w:rsid w:val="004E5724"/>
    <w:pPr>
      <w:widowControl/>
      <w:adjustRightInd w:val="0"/>
    </w:pPr>
    <w:rPr>
      <w:rFonts w:ascii="Times New Roman" w:hAnsi="Times New Roman" w:cs="Times New Roman"/>
      <w:color w:val="000000"/>
      <w:sz w:val="24"/>
      <w:szCs w:val="24"/>
      <w:lang w:val="pt-BR"/>
    </w:rPr>
  </w:style>
  <w:style w:type="paragraph" w:styleId="Citao">
    <w:name w:val="Quote"/>
    <w:basedOn w:val="Normal"/>
    <w:link w:val="CitaoChar"/>
    <w:qFormat/>
    <w:rsid w:val="000F45B3"/>
    <w:pPr>
      <w:keepNext/>
      <w:widowControl/>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autoSpaceDE/>
      <w:autoSpaceDN/>
      <w:spacing w:before="120"/>
      <w:jc w:val="both"/>
      <w:textAlignment w:val="baseline"/>
    </w:pPr>
    <w:rPr>
      <w:rFonts w:ascii="Ecofont_Spranq_eco_Sans" w:eastAsia="Calibri" w:hAnsi="Ecofont_Spranq_eco_Sans" w:cs="Tahoma"/>
      <w:i/>
      <w:iCs/>
      <w:color w:val="000000"/>
      <w:sz w:val="20"/>
      <w:szCs w:val="24"/>
      <w:lang w:val="pt-BR"/>
    </w:rPr>
  </w:style>
  <w:style w:type="character" w:customStyle="1" w:styleId="CitaoChar">
    <w:name w:val="Citação Char"/>
    <w:basedOn w:val="Fontepargpadro"/>
    <w:link w:val="Citao"/>
    <w:rsid w:val="000F45B3"/>
    <w:rPr>
      <w:rFonts w:ascii="Ecofont_Spranq_eco_Sans" w:eastAsia="Calibri" w:hAnsi="Ecofont_Spranq_eco_Sans" w:cs="Tahoma"/>
      <w:i/>
      <w:iCs/>
      <w:color w:val="000000"/>
      <w:sz w:val="20"/>
      <w:szCs w:val="24"/>
      <w:shd w:val="clear" w:color="auto" w:fill="FFFFCC"/>
      <w:lang w:val="pt-BR"/>
    </w:rPr>
  </w:style>
  <w:style w:type="paragraph" w:styleId="SemEspaamento">
    <w:name w:val="No Spacing"/>
    <w:uiPriority w:val="1"/>
    <w:qFormat/>
    <w:rsid w:val="00BC4043"/>
    <w:rPr>
      <w:rFonts w:ascii="Arial MT" w:eastAsia="Arial MT" w:hAnsi="Arial MT" w:cs="Arial MT"/>
      <w:lang w:val="pt-PT"/>
    </w:rPr>
  </w:style>
  <w:style w:type="character" w:styleId="nfase">
    <w:name w:val="Emphasis"/>
    <w:basedOn w:val="Fontepargpadro"/>
    <w:uiPriority w:val="20"/>
    <w:qFormat/>
    <w:rsid w:val="00D04AFE"/>
    <w:rPr>
      <w:i/>
      <w:iCs/>
    </w:rPr>
  </w:style>
  <w:style w:type="paragraph" w:styleId="NormalWeb">
    <w:name w:val="Normal (Web)"/>
    <w:basedOn w:val="Normal"/>
    <w:uiPriority w:val="99"/>
    <w:semiHidden/>
    <w:unhideWhenUsed/>
    <w:rsid w:val="0061384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6D6DE1"/>
    <w:rPr>
      <w:rFonts w:ascii="Segoe UI" w:hAnsi="Segoe UI" w:cs="Segoe UI"/>
      <w:sz w:val="18"/>
      <w:szCs w:val="18"/>
    </w:rPr>
  </w:style>
  <w:style w:type="character" w:customStyle="1" w:styleId="TextodebaloChar">
    <w:name w:val="Texto de balão Char"/>
    <w:basedOn w:val="Fontepargpadro"/>
    <w:link w:val="Textodebalo"/>
    <w:uiPriority w:val="99"/>
    <w:semiHidden/>
    <w:rsid w:val="006D6DE1"/>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46112">
      <w:bodyDiv w:val="1"/>
      <w:marLeft w:val="0"/>
      <w:marRight w:val="0"/>
      <w:marTop w:val="0"/>
      <w:marBottom w:val="0"/>
      <w:divBdr>
        <w:top w:val="none" w:sz="0" w:space="0" w:color="auto"/>
        <w:left w:val="none" w:sz="0" w:space="0" w:color="auto"/>
        <w:bottom w:val="none" w:sz="0" w:space="0" w:color="auto"/>
        <w:right w:val="none" w:sz="0" w:space="0" w:color="auto"/>
      </w:divBdr>
    </w:div>
    <w:div w:id="1436974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a-cpl@mpf.mp.br" TargetMode="External"/><Relationship Id="rId13" Type="http://schemas.openxmlformats.org/officeDocument/2006/relationships/hyperlink" Target="http://www.planalto.gov.br/ccivil_03/_Ato2007-2010/2010/Lei/L12349.htm" TargetMode="External"/><Relationship Id="rId18" Type="http://schemas.openxmlformats.org/officeDocument/2006/relationships/hyperlink" Target="http://www.planalto.gov.br/ccivil_03/leis/L8883.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07-2010/2010/Lei/L12349.htm" TargetMode="External"/><Relationship Id="rId17" Type="http://schemas.openxmlformats.org/officeDocument/2006/relationships/hyperlink" Target="https://www.ibama.gov.br/notas/1785-orientacoes-sobre-a-obrigatoriedade-do-ctf-app-para-participacao-em-licitacoes-publicas" TargetMode="External"/><Relationship Id="rId2" Type="http://schemas.openxmlformats.org/officeDocument/2006/relationships/numbering" Target="numbering.xml"/><Relationship Id="rId16" Type="http://schemas.openxmlformats.org/officeDocument/2006/relationships/hyperlink" Target="https://www.ibama.gov.br/notas/1785-orientacoes-sobre-a-obrigatoriedade-do-ctf-app-para-participacao-em-licitacoes-public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topicos/11310015/artigo-27-da-lei-n-8666-de-21-de-junho-de-1993" TargetMode="External"/><Relationship Id="rId5" Type="http://schemas.openxmlformats.org/officeDocument/2006/relationships/webSettings" Target="webSettings.xml"/><Relationship Id="rId15" Type="http://schemas.openxmlformats.org/officeDocument/2006/relationships/hyperlink" Target="https://www.gov.br/agu/pt-br/composicao/consultoria-geral-da-uniao-1/modelos-de-convenios-licitacoes-e-contratos/modelos-de-licitacoes-e-contratos/servicos-comuns-de-engenharia-pregao-eletronico" TargetMode="External"/><Relationship Id="rId10" Type="http://schemas.openxmlformats.org/officeDocument/2006/relationships/hyperlink" Target="https://www.gov.br/compras/pt-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pf.mp.br/pa/transparencia/licitacoes/pregoes/2021/licitacao-srp-n-o-01-2021-equipamentos" TargetMode="External"/><Relationship Id="rId14" Type="http://schemas.openxmlformats.org/officeDocument/2006/relationships/hyperlink" Target="https://www.ibama.gov.br/sophia/cnia/legislacao/IBAMA/IN0011-130418.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E9F9-177A-4BC1-B748-BBD7E5BE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3821</Words>
  <Characters>20638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DECISÃO DA COMISSÃO ESPECIAL DE LICITAÇÃO DO MINISTÉRIO PÚBLICO DO ESTADO DO PARÁ NO RECURSO ADMINISTRATIVO DA EMPRESA ASTEC-</vt:lpstr>
    </vt:vector>
  </TitlesOfParts>
  <Company/>
  <LinksUpToDate>false</LinksUpToDate>
  <CharactersWithSpaces>24411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DECISÃO DA COMISSÃO ESPECIAL DE LICITAÇÃO DO MINISTÉRIO PÚBLICO DO ESTADO DO PARÁ NO RECURSO ADMINISTRATIVO DA EMPRESA ASTEC-</dc:title>
  <dc:creator>MP</dc:creator>
  <cp:lastModifiedBy>prpa1</cp:lastModifiedBy>
  <cp:revision>13</cp:revision>
  <cp:lastPrinted>2021-06-06T02:35:00Z</cp:lastPrinted>
  <dcterms:created xsi:type="dcterms:W3CDTF">2021-06-06T18:09:00Z</dcterms:created>
  <dcterms:modified xsi:type="dcterms:W3CDTF">2021-06-07T01:17:00Z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Office Word 2007</vt:lpwstr>
  </property>
  <property fmtid="{D5CDD505-2E9C-101B-9397-08002B2CF9AE}" pid="4" name="LastSaved">
    <vt:filetime>2021-06-05T00:00:00Z</vt:filetime>
  </property>
</Properties>
</file>